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rPr>
          <w:rFonts w:hint="eastAsia" w:ascii="宋体" w:hAnsi="宋体" w:cs="宋体"/>
          <w:b/>
          <w:color w:val="000000"/>
          <w:sz w:val="32"/>
          <w:szCs w:val="32"/>
          <w:lang w:eastAsia="zh-CN"/>
        </w:rPr>
      </w:pPr>
    </w:p>
    <w:p>
      <w:pPr>
        <w:pStyle w:val="3"/>
        <w:rPr>
          <w:rFonts w:hint="eastAsia" w:ascii="宋体" w:hAnsi="宋体" w:cs="宋体"/>
          <w:b/>
          <w:color w:val="000000"/>
          <w:sz w:val="32"/>
          <w:szCs w:val="32"/>
          <w:lang w:eastAsia="zh-CN"/>
        </w:rPr>
      </w:pPr>
    </w:p>
    <w:p>
      <w:pPr>
        <w:pStyle w:val="3"/>
        <w:rPr>
          <w:rFonts w:hint="eastAsia" w:ascii="宋体" w:hAnsi="宋体" w:cs="宋体"/>
          <w:b/>
          <w:color w:val="000000"/>
          <w:sz w:val="32"/>
          <w:szCs w:val="32"/>
          <w:lang w:eastAsia="zh-CN"/>
        </w:rPr>
      </w:pPr>
    </w:p>
    <w:p>
      <w:pPr>
        <w:pStyle w:val="3"/>
        <w:rPr>
          <w:rFonts w:hint="eastAsia" w:ascii="宋体" w:hAnsi="宋体" w:cs="宋体"/>
          <w:b/>
          <w:color w:val="000000"/>
          <w:sz w:val="32"/>
          <w:szCs w:val="32"/>
          <w:lang w:eastAsia="zh-CN"/>
        </w:rPr>
      </w:pPr>
    </w:p>
    <w:p>
      <w:pPr>
        <w:pStyle w:val="3"/>
        <w:rPr>
          <w:rFonts w:hint="eastAsia" w:ascii="宋体" w:hAnsi="宋体" w:cs="宋体"/>
          <w:b/>
          <w:color w:val="000000"/>
          <w:sz w:val="32"/>
          <w:szCs w:val="32"/>
          <w:lang w:eastAsia="zh-CN"/>
        </w:rPr>
      </w:pPr>
    </w:p>
    <w:p>
      <w:pPr>
        <w:pStyle w:val="3"/>
        <w:rPr>
          <w:rFonts w:hint="eastAsia" w:ascii="宋体" w:hAnsi="宋体" w:cs="宋体"/>
          <w:b/>
          <w:color w:val="000000"/>
          <w:sz w:val="32"/>
          <w:szCs w:val="32"/>
          <w:lang w:eastAsia="zh-CN"/>
        </w:rPr>
      </w:pPr>
    </w:p>
    <w:p>
      <w:pPr>
        <w:pStyle w:val="3"/>
        <w:rPr>
          <w:rFonts w:hint="eastAsia" w:ascii="宋体" w:hAnsi="宋体" w:cs="宋体"/>
          <w:b/>
          <w:color w:val="000000"/>
          <w:sz w:val="32"/>
          <w:szCs w:val="32"/>
          <w:lang w:eastAsia="zh-CN"/>
        </w:rPr>
      </w:pPr>
    </w:p>
    <w:p>
      <w:pPr>
        <w:pStyle w:val="3"/>
        <w:rPr>
          <w:rFonts w:hint="eastAsia" w:ascii="宋体" w:hAnsi="宋体" w:cs="宋体"/>
          <w:b/>
          <w:color w:val="000000"/>
          <w:sz w:val="32"/>
          <w:szCs w:val="32"/>
          <w:lang w:eastAsia="zh-CN"/>
        </w:rPr>
      </w:pPr>
    </w:p>
    <w:p>
      <w:pPr>
        <w:pStyle w:val="3"/>
        <w:rPr>
          <w:rFonts w:hint="eastAsia" w:ascii="宋体" w:hAnsi="宋体" w:cs="宋体"/>
          <w:b/>
          <w:color w:val="000000"/>
          <w:sz w:val="32"/>
          <w:szCs w:val="32"/>
          <w:lang w:eastAsia="zh-CN"/>
        </w:rPr>
      </w:pPr>
    </w:p>
    <w:p>
      <w:pPr>
        <w:pStyle w:val="3"/>
        <w:rPr>
          <w:rFonts w:hint="eastAsia" w:ascii="宋体" w:hAnsi="宋体" w:cs="宋体"/>
          <w:b/>
          <w:color w:val="000000"/>
          <w:sz w:val="32"/>
          <w:szCs w:val="32"/>
          <w:lang w:eastAsia="zh-CN"/>
        </w:rPr>
      </w:pPr>
    </w:p>
    <w:p>
      <w:pPr>
        <w:pStyle w:val="3"/>
        <w:rPr>
          <w:rFonts w:hint="eastAsia" w:ascii="宋体" w:hAnsi="宋体" w:cs="宋体"/>
          <w:b/>
          <w:color w:val="000000"/>
          <w:sz w:val="32"/>
          <w:szCs w:val="32"/>
          <w:lang w:eastAsia="zh-CN"/>
        </w:rPr>
      </w:pPr>
    </w:p>
    <w:p>
      <w:pPr>
        <w:pStyle w:val="3"/>
        <w:rPr>
          <w:rFonts w:hint="eastAsia" w:ascii="宋体" w:hAnsi="宋体" w:cs="宋体"/>
          <w:b/>
          <w:color w:val="000000"/>
          <w:sz w:val="32"/>
          <w:szCs w:val="32"/>
          <w:lang w:eastAsia="zh-CN"/>
        </w:rPr>
      </w:pPr>
    </w:p>
    <w:p>
      <w:pPr>
        <w:pStyle w:val="3"/>
        <w:rPr>
          <w:rFonts w:hint="eastAsia" w:ascii="宋体" w:hAnsi="宋体" w:cs="宋体"/>
          <w:b/>
          <w:color w:val="000000"/>
          <w:sz w:val="32"/>
          <w:szCs w:val="32"/>
          <w:lang w:eastAsia="zh-CN"/>
        </w:rPr>
      </w:pPr>
    </w:p>
    <w:p>
      <w:pPr>
        <w:pStyle w:val="3"/>
        <w:rPr>
          <w:rFonts w:hint="eastAsia" w:ascii="宋体" w:hAnsi="宋体" w:cs="宋体"/>
          <w:b/>
          <w:color w:val="000000"/>
          <w:sz w:val="32"/>
          <w:szCs w:val="32"/>
          <w:lang w:eastAsia="zh-CN"/>
        </w:rPr>
      </w:pPr>
    </w:p>
    <w:p>
      <w:pPr>
        <w:pStyle w:val="3"/>
        <w:rPr>
          <w:rFonts w:hint="eastAsia" w:ascii="宋体" w:hAnsi="宋体" w:cs="宋体"/>
          <w:b/>
          <w:color w:val="000000"/>
          <w:sz w:val="32"/>
          <w:szCs w:val="32"/>
          <w:lang w:eastAsia="zh-CN"/>
        </w:rPr>
      </w:pPr>
    </w:p>
    <w:p>
      <w:pPr>
        <w:pStyle w:val="3"/>
        <w:rPr>
          <w:rFonts w:hint="eastAsia" w:ascii="宋体" w:hAnsi="宋体" w:cs="宋体"/>
          <w:b/>
          <w:color w:val="000000"/>
          <w:sz w:val="32"/>
          <w:szCs w:val="32"/>
          <w:lang w:eastAsia="zh-CN"/>
        </w:rPr>
      </w:pPr>
    </w:p>
    <w:p>
      <w:pPr>
        <w:pStyle w:val="3"/>
        <w:rPr>
          <w:rFonts w:hint="eastAsia" w:ascii="宋体" w:hAnsi="宋体" w:cs="宋体"/>
          <w:b/>
          <w:color w:val="000000"/>
          <w:sz w:val="32"/>
          <w:szCs w:val="32"/>
          <w:lang w:eastAsia="zh-CN"/>
        </w:rPr>
      </w:pPr>
    </w:p>
    <w:p>
      <w:pPr>
        <w:pStyle w:val="3"/>
        <w:rPr>
          <w:rFonts w:hint="eastAsia" w:ascii="宋体" w:hAnsi="宋体" w:cs="宋体"/>
          <w:b/>
          <w:color w:val="000000"/>
          <w:sz w:val="32"/>
          <w:szCs w:val="32"/>
          <w:lang w:eastAsia="zh-CN"/>
        </w:rPr>
      </w:pPr>
    </w:p>
    <w:p>
      <w:pPr>
        <w:pStyle w:val="3"/>
        <w:rPr>
          <w:rFonts w:hint="eastAsia" w:ascii="宋体" w:hAnsi="宋体" w:cs="宋体"/>
          <w:b/>
          <w:color w:val="000000"/>
          <w:sz w:val="32"/>
          <w:szCs w:val="32"/>
          <w:lang w:eastAsia="zh-CN"/>
        </w:rPr>
      </w:pPr>
    </w:p>
    <w:p>
      <w:pPr>
        <w:pStyle w:val="3"/>
        <w:rPr>
          <w:rFonts w:hint="eastAsia" w:ascii="宋体" w:hAnsi="宋体" w:cs="宋体"/>
          <w:b/>
          <w:color w:val="000000"/>
          <w:sz w:val="32"/>
          <w:szCs w:val="32"/>
          <w:lang w:eastAsia="zh-CN"/>
        </w:rPr>
      </w:pPr>
    </w:p>
    <w:p>
      <w:pPr>
        <w:pStyle w:val="3"/>
        <w:rPr>
          <w:rFonts w:hint="eastAsia" w:ascii="宋体" w:hAnsi="宋体" w:cs="宋体"/>
          <w:b/>
          <w:color w:val="000000"/>
          <w:sz w:val="32"/>
          <w:szCs w:val="32"/>
          <w:lang w:eastAsia="zh-CN"/>
        </w:rPr>
      </w:pPr>
    </w:p>
    <w:p>
      <w:pPr>
        <w:pStyle w:val="3"/>
        <w:rPr>
          <w:rFonts w:hint="eastAsia" w:ascii="宋体" w:hAnsi="宋体" w:cs="宋体"/>
          <w:b/>
          <w:color w:val="000000"/>
          <w:sz w:val="32"/>
          <w:szCs w:val="32"/>
          <w:lang w:eastAsia="zh-CN"/>
        </w:rPr>
      </w:pPr>
    </w:p>
    <w:p>
      <w:pPr>
        <w:pStyle w:val="3"/>
        <w:rPr>
          <w:rFonts w:hint="eastAsia" w:ascii="宋体" w:hAnsi="宋体" w:cs="宋体"/>
          <w:b/>
          <w:color w:val="000000"/>
          <w:sz w:val="32"/>
          <w:szCs w:val="32"/>
          <w:lang w:eastAsia="zh-CN"/>
        </w:rPr>
      </w:pPr>
    </w:p>
    <w:p>
      <w:pPr>
        <w:keepNext w:val="0"/>
        <w:keepLines w:val="0"/>
        <w:pageBreakBefore w:val="0"/>
        <w:widowControl w:val="0"/>
        <w:kinsoku/>
        <w:wordWrap/>
        <w:overflowPunct/>
        <w:topLinePunct w:val="0"/>
        <w:autoSpaceDE/>
        <w:autoSpaceDN/>
        <w:bidi w:val="0"/>
        <w:adjustRightInd/>
        <w:snapToGrid/>
        <w:spacing w:before="240" w:beforeLines="100" w:line="440" w:lineRule="exact"/>
        <w:jc w:val="center"/>
        <w:textAlignment w:val="auto"/>
        <w:outlineLvl w:val="0"/>
        <w:rPr>
          <w:rFonts w:hint="eastAsia" w:ascii="方正小标宋_GBK" w:hAnsi="方正小标宋_GBK" w:eastAsia="方正小标宋_GBK" w:cs="方正小标宋_GBK"/>
          <w:b w:val="0"/>
          <w:bCs w:val="0"/>
          <w:sz w:val="32"/>
          <w:szCs w:val="32"/>
          <w:lang w:eastAsia="zh-CN"/>
        </w:rPr>
      </w:pPr>
      <w:r>
        <w:rPr>
          <w:rFonts w:hint="eastAsia" w:ascii="宋体" w:hAnsi="宋体" w:cs="宋体"/>
          <w:b/>
          <w:color w:val="000000"/>
          <w:sz w:val="32"/>
          <w:szCs w:val="32"/>
          <w:lang w:eastAsia="zh-CN"/>
        </w:rPr>
        <w:t>附件：</w:t>
      </w:r>
      <w:r>
        <w:rPr>
          <w:rFonts w:hint="eastAsia" w:ascii="方正小标宋_GBK" w:hAnsi="方正小标宋_GBK" w:eastAsia="方正小标宋_GBK" w:cs="方正小标宋_GBK"/>
          <w:b w:val="0"/>
          <w:bCs w:val="0"/>
          <w:sz w:val="32"/>
          <w:szCs w:val="32"/>
          <w:lang w:eastAsia="zh-CN"/>
        </w:rPr>
        <w:t>安庆市疾病预防控制中心艾防科</w:t>
      </w:r>
      <w:r>
        <w:rPr>
          <w:rFonts w:hint="eastAsia" w:ascii="方正小标宋_GBK" w:hAnsi="方正小标宋_GBK" w:eastAsia="方正小标宋_GBK" w:cs="方正小标宋_GBK"/>
          <w:b w:val="0"/>
          <w:bCs w:val="0"/>
          <w:sz w:val="32"/>
          <w:szCs w:val="32"/>
          <w:lang w:val="en-US" w:eastAsia="zh-CN"/>
        </w:rPr>
        <w:t xml:space="preserve">HIV抗体检测试纸、安全套采购项目（二次）  </w:t>
      </w:r>
      <w:r>
        <w:rPr>
          <w:rFonts w:hint="eastAsia" w:ascii="方正小标宋_GBK" w:hAnsi="方正小标宋_GBK" w:eastAsia="方正小标宋_GBK" w:cs="方正小标宋_GBK"/>
          <w:b w:val="0"/>
          <w:bCs w:val="0"/>
          <w:sz w:val="32"/>
          <w:szCs w:val="32"/>
          <w:lang w:eastAsia="zh-CN"/>
        </w:rPr>
        <w:t>采购</w:t>
      </w:r>
      <w:r>
        <w:rPr>
          <w:rFonts w:hint="eastAsia" w:ascii="方正小标宋_GBK" w:hAnsi="方正小标宋_GBK" w:eastAsia="方正小标宋_GBK" w:cs="方正小标宋_GBK"/>
          <w:b w:val="0"/>
          <w:bCs w:val="0"/>
          <w:sz w:val="32"/>
          <w:szCs w:val="32"/>
          <w:lang w:eastAsia="zh-CN"/>
        </w:rPr>
        <w:t>项</w:t>
      </w:r>
      <w:bookmarkStart w:id="1" w:name="_GoBack"/>
      <w:bookmarkEnd w:id="1"/>
      <w:r>
        <w:rPr>
          <w:rFonts w:hint="eastAsia" w:ascii="方正小标宋_GBK" w:hAnsi="方正小标宋_GBK" w:eastAsia="方正小标宋_GBK" w:cs="方正小标宋_GBK"/>
          <w:b w:val="0"/>
          <w:bCs w:val="0"/>
          <w:sz w:val="32"/>
          <w:szCs w:val="32"/>
          <w:lang w:eastAsia="zh-CN"/>
        </w:rPr>
        <w:t>目需求及技术要求</w:t>
      </w:r>
    </w:p>
    <w:p>
      <w:pPr>
        <w:pStyle w:val="3"/>
        <w:spacing w:line="400" w:lineRule="exact"/>
        <w:rPr>
          <w:rFonts w:hint="eastAsia" w:ascii="仿宋" w:hAnsi="仿宋" w:eastAsia="仿宋" w:cs="仿宋"/>
          <w:b/>
          <w:bCs/>
          <w:szCs w:val="24"/>
          <w:lang w:eastAsia="zh-CN"/>
        </w:rPr>
      </w:pPr>
      <w:r>
        <w:rPr>
          <w:rFonts w:hint="eastAsia" w:ascii="仿宋" w:hAnsi="仿宋" w:eastAsia="仿宋" w:cs="仿宋"/>
          <w:b/>
          <w:bCs/>
          <w:szCs w:val="24"/>
          <w:lang w:eastAsia="zh-CN"/>
        </w:rPr>
        <w:t>前注：</w:t>
      </w:r>
    </w:p>
    <w:p>
      <w:pPr>
        <w:pStyle w:val="3"/>
        <w:spacing w:line="400" w:lineRule="exact"/>
        <w:ind w:firstLine="482" w:firstLineChars="200"/>
        <w:rPr>
          <w:rFonts w:hint="eastAsia" w:ascii="仿宋" w:hAnsi="仿宋" w:eastAsia="仿宋" w:cs="仿宋"/>
          <w:b/>
          <w:bCs/>
          <w:szCs w:val="24"/>
        </w:rPr>
      </w:pPr>
      <w:r>
        <w:rPr>
          <w:rFonts w:hint="eastAsia" w:ascii="仿宋" w:hAnsi="仿宋" w:eastAsia="仿宋" w:cs="仿宋"/>
          <w:b/>
          <w:bCs/>
          <w:szCs w:val="24"/>
        </w:rPr>
        <w:t>为鼓励不同品牌的充分竞争，如某设备的某技术参数或要求属于个别品牌专有，则该技术参数及要求不具有限制性，供应商可对该参数或要求进行适当调整，但这种调整整体上要优于或相当于磋商文件的相关要求，并说明调整理由，且该调整须经磋商小组审核认可。</w:t>
      </w:r>
    </w:p>
    <w:p>
      <w:pPr>
        <w:pStyle w:val="3"/>
        <w:spacing w:line="400" w:lineRule="exact"/>
        <w:ind w:firstLine="482" w:firstLineChars="200"/>
        <w:rPr>
          <w:rFonts w:hint="eastAsia" w:ascii="仿宋" w:hAnsi="仿宋" w:eastAsia="仿宋" w:cs="仿宋"/>
          <w:b/>
          <w:bCs/>
          <w:szCs w:val="24"/>
        </w:rPr>
      </w:pPr>
      <w:r>
        <w:rPr>
          <w:rFonts w:hint="eastAsia" w:ascii="仿宋" w:hAnsi="仿宋" w:eastAsia="仿宋" w:cs="仿宋"/>
          <w:b/>
          <w:bCs/>
          <w:szCs w:val="24"/>
        </w:rPr>
        <w:t>1.成交人提供的货物为进口产品的，供货时须向采购人提供所投进口产品的海关报关单等证明材料。</w:t>
      </w:r>
      <w:bookmarkStart w:id="0" w:name="_Toc24273"/>
    </w:p>
    <w:p>
      <w:pPr>
        <w:pStyle w:val="3"/>
        <w:spacing w:line="400" w:lineRule="exact"/>
        <w:ind w:firstLine="482" w:firstLineChars="200"/>
        <w:rPr>
          <w:rFonts w:hint="eastAsia"/>
          <w:b/>
          <w:bCs/>
          <w:sz w:val="32"/>
          <w:szCs w:val="32"/>
          <w:lang w:eastAsia="zh-CN"/>
        </w:rPr>
      </w:pPr>
      <w:r>
        <w:rPr>
          <w:rFonts w:hint="eastAsia" w:ascii="仿宋" w:hAnsi="仿宋" w:eastAsia="仿宋" w:cs="仿宋"/>
          <w:b/>
          <w:bCs/>
          <w:szCs w:val="24"/>
        </w:rPr>
        <w:t>2.原装进口的产品，如国内产品满足需求也可参与采购竞争。</w:t>
      </w:r>
      <w:bookmarkEnd w:id="0"/>
    </w:p>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firstLine="480" w:firstLineChars="200"/>
        <w:textAlignment w:val="auto"/>
        <w:rPr>
          <w:rFonts w:hint="eastAsia" w:ascii="黑体" w:hAnsi="黑体" w:eastAsia="黑体" w:cs="黑体"/>
          <w:b w:val="0"/>
          <w:bCs w:val="0"/>
          <w:sz w:val="28"/>
          <w:szCs w:val="28"/>
          <w:lang w:eastAsia="zh-CN"/>
        </w:rPr>
      </w:pPr>
      <w:r>
        <w:rPr>
          <w:rFonts w:hint="eastAsia" w:ascii="黑体" w:hAnsi="黑体" w:eastAsia="黑体" w:cs="黑体"/>
          <w:b w:val="0"/>
          <w:bCs w:val="0"/>
          <w:sz w:val="24"/>
          <w:szCs w:val="24"/>
          <w:lang w:eastAsia="zh-CN"/>
        </w:rPr>
        <w:t>采购需求一览表及技术要求</w:t>
      </w:r>
    </w:p>
    <w:tbl>
      <w:tblPr>
        <w:tblStyle w:val="4"/>
        <w:tblW w:w="4936"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49"/>
        <w:gridCol w:w="1870"/>
        <w:gridCol w:w="5782"/>
        <w:gridCol w:w="870"/>
        <w:gridCol w:w="75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6" w:hRule="atLeast"/>
        </w:trPr>
        <w:tc>
          <w:tcPr>
            <w:tcW w:w="231"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序号</w:t>
            </w:r>
          </w:p>
        </w:tc>
        <w:tc>
          <w:tcPr>
            <w:tcW w:w="961"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产品名称</w:t>
            </w:r>
          </w:p>
        </w:tc>
        <w:tc>
          <w:tcPr>
            <w:tcW w:w="2971"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技术参数</w:t>
            </w:r>
          </w:p>
        </w:tc>
        <w:tc>
          <w:tcPr>
            <w:tcW w:w="447"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单位</w:t>
            </w:r>
          </w:p>
        </w:tc>
        <w:tc>
          <w:tcPr>
            <w:tcW w:w="388"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14" w:hRule="atLeast"/>
        </w:trPr>
        <w:tc>
          <w:tcPr>
            <w:tcW w:w="231"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 w:hAnsi="仿宋" w:eastAsia="仿宋" w:cs="仿宋"/>
                <w:kern w:val="2"/>
                <w:sz w:val="24"/>
                <w:szCs w:val="24"/>
                <w:lang w:val="en-US" w:eastAsia="zh-CN"/>
              </w:rPr>
            </w:pPr>
            <w:r>
              <w:rPr>
                <w:rFonts w:hint="default" w:ascii="仿宋" w:hAnsi="仿宋" w:eastAsia="仿宋" w:cs="仿宋"/>
                <w:kern w:val="2"/>
                <w:sz w:val="24"/>
                <w:szCs w:val="24"/>
                <w:lang w:val="en-US" w:eastAsia="zh-CN"/>
              </w:rPr>
              <w:t>1</w:t>
            </w:r>
          </w:p>
        </w:tc>
        <w:tc>
          <w:tcPr>
            <w:tcW w:w="961"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i w:val="0"/>
                <w:iCs w:val="0"/>
                <w:color w:val="000000"/>
                <w:kern w:val="0"/>
                <w:sz w:val="22"/>
                <w:szCs w:val="22"/>
                <w:u w:val="none"/>
                <w:lang w:val="en-US" w:eastAsia="zh-CN" w:bidi="ar"/>
              </w:rPr>
            </w:pPr>
            <w:r>
              <w:rPr>
                <w:rFonts w:hint="eastAsia" w:ascii="仿宋" w:hAnsi="仿宋" w:eastAsia="仿宋" w:cs="仿宋"/>
                <w:kern w:val="2"/>
                <w:sz w:val="24"/>
                <w:szCs w:val="24"/>
                <w:lang w:val="en-US" w:eastAsia="zh-CN"/>
              </w:rPr>
              <w:t>HIV抗体检测试纸</w:t>
            </w:r>
          </w:p>
        </w:tc>
        <w:tc>
          <w:tcPr>
            <w:tcW w:w="2971"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仿宋" w:hAnsi="仿宋" w:eastAsia="仿宋" w:cs="Times New Roman"/>
                <w:sz w:val="22"/>
                <w:szCs w:val="22"/>
                <w:lang w:val="en-US" w:eastAsia="zh-CN"/>
              </w:rPr>
            </w:pPr>
            <w:r>
              <w:rPr>
                <w:rFonts w:hint="eastAsia" w:ascii="仿宋" w:hAnsi="仿宋" w:eastAsia="仿宋" w:cs="Times New Roman"/>
                <w:sz w:val="22"/>
                <w:szCs w:val="22"/>
                <w:lang w:val="en-US" w:eastAsia="zh-CN"/>
              </w:rPr>
              <w:t xml:space="preserve">人类免疫缺陷病毒抗体检测试纸（试剂盒，板型） </w:t>
            </w:r>
          </w:p>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仿宋" w:hAnsi="仿宋" w:eastAsia="仿宋" w:cs="Times New Roman"/>
                <w:sz w:val="22"/>
                <w:szCs w:val="22"/>
                <w:lang w:val="en-US" w:eastAsia="zh-CN"/>
              </w:rPr>
            </w:pPr>
            <w:r>
              <w:rPr>
                <w:rFonts w:hint="eastAsia" w:ascii="仿宋" w:hAnsi="仿宋" w:eastAsia="仿宋" w:cs="Times New Roman"/>
                <w:sz w:val="22"/>
                <w:szCs w:val="22"/>
                <w:lang w:val="en-US" w:eastAsia="zh-CN"/>
              </w:rPr>
              <w:t>1.方法原理：胶体金法;</w:t>
            </w:r>
          </w:p>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仿宋" w:hAnsi="仿宋" w:eastAsia="仿宋" w:cs="Times New Roman"/>
                <w:sz w:val="22"/>
                <w:szCs w:val="22"/>
                <w:lang w:val="en-US" w:eastAsia="zh-CN"/>
              </w:rPr>
            </w:pPr>
            <w:r>
              <w:rPr>
                <w:rFonts w:hint="eastAsia" w:ascii="仿宋" w:hAnsi="仿宋" w:eastAsia="仿宋" w:cs="Times New Roman"/>
                <w:sz w:val="22"/>
                <w:szCs w:val="22"/>
                <w:lang w:val="en-US" w:eastAsia="zh-CN"/>
              </w:rPr>
              <w:t xml:space="preserve">2.检测样本：全血,血清，血浆均可，用肉眼判断结果； </w:t>
            </w:r>
          </w:p>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仿宋" w:hAnsi="仿宋" w:eastAsia="仿宋" w:cs="Times New Roman"/>
                <w:sz w:val="22"/>
                <w:szCs w:val="22"/>
                <w:lang w:val="en-US" w:eastAsia="zh-CN"/>
              </w:rPr>
            </w:pPr>
            <w:r>
              <w:rPr>
                <w:rFonts w:hint="eastAsia" w:ascii="仿宋" w:hAnsi="仿宋" w:eastAsia="仿宋" w:cs="Times New Roman"/>
                <w:sz w:val="22"/>
                <w:szCs w:val="22"/>
                <w:lang w:val="en-US" w:eastAsia="zh-CN"/>
              </w:rPr>
              <w:t>3.检测病毒型：HIV1/2型；</w:t>
            </w:r>
          </w:p>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仿宋" w:hAnsi="仿宋" w:eastAsia="仿宋" w:cs="Times New Roman"/>
                <w:sz w:val="22"/>
                <w:szCs w:val="22"/>
                <w:lang w:val="en-US" w:eastAsia="zh-CN"/>
              </w:rPr>
            </w:pPr>
            <w:r>
              <w:rPr>
                <w:rFonts w:hint="eastAsia" w:ascii="仿宋" w:hAnsi="仿宋" w:eastAsia="仿宋" w:cs="Times New Roman"/>
                <w:sz w:val="22"/>
                <w:szCs w:val="22"/>
                <w:lang w:val="en-US" w:eastAsia="zh-CN"/>
              </w:rPr>
              <w:t>4.观察结果时间：加样后≤30 分钟显示观察实验结果；</w:t>
            </w:r>
          </w:p>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仿宋" w:hAnsi="仿宋" w:eastAsia="仿宋" w:cs="Times New Roman"/>
                <w:sz w:val="22"/>
                <w:szCs w:val="22"/>
                <w:lang w:val="en-US" w:eastAsia="zh-CN"/>
              </w:rPr>
            </w:pPr>
            <w:r>
              <w:rPr>
                <w:rFonts w:hint="eastAsia" w:ascii="仿宋" w:hAnsi="仿宋" w:eastAsia="仿宋" w:cs="Times New Roman"/>
                <w:sz w:val="22"/>
                <w:szCs w:val="22"/>
                <w:lang w:val="en-US" w:eastAsia="zh-CN"/>
              </w:rPr>
              <w:t>5.储存条件：2～30℃密封干燥保持，无需冷藏；有效期≥24 个月；</w:t>
            </w:r>
          </w:p>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default" w:ascii="宋体" w:hAnsi="宋体" w:eastAsia="宋体" w:cs="宋体"/>
                <w:i w:val="0"/>
                <w:iCs w:val="0"/>
                <w:color w:val="auto"/>
                <w:sz w:val="21"/>
                <w:szCs w:val="21"/>
                <w:highlight w:val="none"/>
                <w:u w:val="none"/>
                <w:lang w:val="en-US"/>
              </w:rPr>
            </w:pPr>
            <w:r>
              <w:rPr>
                <w:rFonts w:hint="eastAsia" w:ascii="仿宋" w:hAnsi="仿宋" w:eastAsia="仿宋" w:cs="Times New Roman"/>
                <w:sz w:val="22"/>
                <w:szCs w:val="22"/>
                <w:lang w:val="en-US" w:eastAsia="zh-CN"/>
              </w:rPr>
              <w:t>6.质量保证：近三年经国家疾控性艾中心临床评估质量优良，敏感性100%，特异性≥99％，功效率≥99%；经国家食品药品监督管理局注册批准,检验合格；</w:t>
            </w:r>
          </w:p>
        </w:tc>
        <w:tc>
          <w:tcPr>
            <w:tcW w:w="44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1"/>
                <w:szCs w:val="21"/>
                <w:highlight w:val="none"/>
                <w:u w:val="none"/>
                <w:lang w:val="en-US" w:eastAsia="zh-CN" w:bidi="ar"/>
              </w:rPr>
            </w:pPr>
            <w:r>
              <w:rPr>
                <w:rFonts w:hint="eastAsia" w:ascii="宋体" w:hAnsi="宋体" w:cs="宋体"/>
                <w:i w:val="0"/>
                <w:iCs w:val="0"/>
                <w:color w:val="auto"/>
                <w:kern w:val="0"/>
                <w:sz w:val="21"/>
                <w:szCs w:val="21"/>
                <w:highlight w:val="none"/>
                <w:u w:val="none"/>
                <w:lang w:val="en-US" w:eastAsia="zh-CN" w:bidi="ar"/>
              </w:rPr>
              <w:t>人份</w:t>
            </w:r>
          </w:p>
        </w:tc>
        <w:tc>
          <w:tcPr>
            <w:tcW w:w="38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2"/>
                <w:szCs w:val="22"/>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48" w:hRule="atLeast"/>
        </w:trPr>
        <w:tc>
          <w:tcPr>
            <w:tcW w:w="231"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 w:hAnsi="仿宋" w:eastAsia="仿宋" w:cs="仿宋"/>
                <w:kern w:val="2"/>
                <w:sz w:val="24"/>
                <w:szCs w:val="24"/>
                <w:lang w:val="en-US" w:eastAsia="zh-CN"/>
              </w:rPr>
            </w:pPr>
            <w:r>
              <w:rPr>
                <w:rFonts w:hint="default" w:ascii="仿宋" w:hAnsi="仿宋" w:eastAsia="仿宋" w:cs="仿宋"/>
                <w:kern w:val="2"/>
                <w:sz w:val="24"/>
                <w:szCs w:val="24"/>
                <w:lang w:val="en-US" w:eastAsia="zh-CN"/>
              </w:rPr>
              <w:t>2</w:t>
            </w:r>
          </w:p>
        </w:tc>
        <w:tc>
          <w:tcPr>
            <w:tcW w:w="961"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i w:val="0"/>
                <w:iCs w:val="0"/>
                <w:color w:val="000000"/>
                <w:kern w:val="0"/>
                <w:sz w:val="22"/>
                <w:szCs w:val="22"/>
                <w:u w:val="none"/>
                <w:lang w:val="en-US" w:eastAsia="zh-CN" w:bidi="ar"/>
              </w:rPr>
            </w:pPr>
            <w:r>
              <w:rPr>
                <w:rFonts w:hint="eastAsia" w:ascii="仿宋" w:hAnsi="仿宋" w:eastAsia="仿宋" w:cs="仿宋"/>
                <w:kern w:val="2"/>
                <w:sz w:val="24"/>
                <w:szCs w:val="24"/>
                <w:lang w:val="en-US" w:eastAsia="zh-CN"/>
              </w:rPr>
              <w:t>安全套</w:t>
            </w:r>
          </w:p>
        </w:tc>
        <w:tc>
          <w:tcPr>
            <w:tcW w:w="2971"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仿宋" w:hAnsi="仿宋" w:eastAsia="仿宋" w:cs="Times New Roman"/>
                <w:sz w:val="22"/>
                <w:szCs w:val="22"/>
                <w:lang w:val="en-US" w:eastAsia="zh-CN"/>
              </w:rPr>
            </w:pPr>
            <w:r>
              <w:rPr>
                <w:rFonts w:hint="eastAsia" w:ascii="仿宋" w:hAnsi="仿宋" w:eastAsia="仿宋" w:cs="Times New Roman"/>
                <w:sz w:val="22"/>
                <w:szCs w:val="22"/>
                <w:lang w:val="en-US" w:eastAsia="zh-CN"/>
              </w:rPr>
              <w:t>天然橡胶胶乳男用安全套：</w:t>
            </w:r>
          </w:p>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仿宋" w:hAnsi="仿宋" w:eastAsia="仿宋" w:cs="Times New Roman"/>
                <w:sz w:val="22"/>
                <w:szCs w:val="22"/>
                <w:lang w:val="en-US" w:eastAsia="zh-CN"/>
              </w:rPr>
            </w:pPr>
            <w:r>
              <w:rPr>
                <w:rFonts w:hint="eastAsia" w:ascii="仿宋" w:hAnsi="仿宋" w:eastAsia="仿宋" w:cs="Times New Roman"/>
                <w:sz w:val="22"/>
                <w:szCs w:val="22"/>
                <w:lang w:val="en-US" w:eastAsia="zh-CN"/>
              </w:rPr>
              <w:t>1.规格：乳胶原色，中号（直径33mm，宽度52mm±2mm，长度≥170mm）；</w:t>
            </w:r>
          </w:p>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仿宋" w:hAnsi="仿宋" w:eastAsia="仿宋" w:cs="Times New Roman"/>
                <w:sz w:val="22"/>
                <w:szCs w:val="22"/>
                <w:lang w:val="en-US" w:eastAsia="zh-CN"/>
              </w:rPr>
            </w:pPr>
            <w:r>
              <w:rPr>
                <w:rFonts w:hint="eastAsia" w:ascii="仿宋" w:hAnsi="仿宋" w:eastAsia="仿宋" w:cs="Times New Roman"/>
                <w:sz w:val="22"/>
                <w:szCs w:val="22"/>
                <w:lang w:val="en-US" w:eastAsia="zh-CN"/>
              </w:rPr>
              <w:t>2.产品类型：光面或颗粒，超薄或普通均可，厚度：0.045～0.075mm±0.005mm；</w:t>
            </w:r>
          </w:p>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仿宋" w:hAnsi="仿宋" w:eastAsia="仿宋" w:cs="Times New Roman"/>
                <w:sz w:val="22"/>
                <w:szCs w:val="22"/>
                <w:lang w:val="en-US" w:eastAsia="zh-CN"/>
              </w:rPr>
            </w:pPr>
            <w:r>
              <w:rPr>
                <w:rFonts w:hint="eastAsia" w:ascii="仿宋" w:hAnsi="仿宋" w:eastAsia="仿宋" w:cs="Times New Roman"/>
                <w:sz w:val="22"/>
                <w:szCs w:val="22"/>
                <w:lang w:val="en-US" w:eastAsia="zh-CN"/>
              </w:rPr>
              <w:t>3.水溶性润滑剂：含量≥500mg/只，润滑剂不含杀精剂；</w:t>
            </w:r>
          </w:p>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仿宋" w:hAnsi="仿宋" w:eastAsia="仿宋" w:cs="Times New Roman"/>
                <w:sz w:val="22"/>
                <w:szCs w:val="22"/>
                <w:lang w:val="en-US" w:eastAsia="zh-CN"/>
              </w:rPr>
            </w:pPr>
            <w:r>
              <w:rPr>
                <w:rFonts w:hint="eastAsia" w:ascii="仿宋" w:hAnsi="仿宋" w:eastAsia="仿宋" w:cs="Times New Roman"/>
                <w:sz w:val="22"/>
                <w:szCs w:val="22"/>
                <w:lang w:val="en-US" w:eastAsia="zh-CN"/>
              </w:rPr>
              <w:t>4.包装规格：10只/盒，每件内装200盒；</w:t>
            </w:r>
          </w:p>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仿宋" w:hAnsi="仿宋" w:eastAsia="仿宋" w:cs="Times New Roman"/>
                <w:sz w:val="22"/>
                <w:szCs w:val="22"/>
                <w:lang w:val="en-US" w:eastAsia="zh-CN"/>
              </w:rPr>
            </w:pPr>
            <w:r>
              <w:rPr>
                <w:rFonts w:hint="eastAsia" w:ascii="仿宋" w:hAnsi="仿宋" w:eastAsia="仿宋" w:cs="Times New Roman"/>
                <w:sz w:val="22"/>
                <w:szCs w:val="22"/>
                <w:lang w:val="en-US" w:eastAsia="zh-CN"/>
              </w:rPr>
              <w:t>5.产品有效期：5年；</w:t>
            </w:r>
          </w:p>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仿宋" w:hAnsi="仿宋" w:eastAsia="仿宋" w:cs="Times New Roman"/>
                <w:sz w:val="22"/>
                <w:szCs w:val="22"/>
                <w:lang w:val="en-US" w:eastAsia="zh-CN"/>
              </w:rPr>
            </w:pPr>
            <w:r>
              <w:rPr>
                <w:rFonts w:hint="eastAsia" w:ascii="仿宋" w:hAnsi="仿宋" w:eastAsia="仿宋" w:cs="Times New Roman"/>
                <w:sz w:val="22"/>
                <w:szCs w:val="22"/>
                <w:lang w:val="en-US" w:eastAsia="zh-CN"/>
              </w:rPr>
              <w:t>6.贮藏条件：常温。</w:t>
            </w:r>
          </w:p>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default"/>
                <w:lang w:val="en-US"/>
              </w:rPr>
            </w:pPr>
            <w:r>
              <w:rPr>
                <w:rFonts w:hint="eastAsia" w:ascii="仿宋" w:hAnsi="仿宋" w:eastAsia="仿宋" w:cs="Times New Roman"/>
                <w:sz w:val="22"/>
                <w:szCs w:val="22"/>
                <w:lang w:val="en-US" w:eastAsia="zh-CN"/>
              </w:rPr>
              <w:t>7.或相当于杰士邦、杜蕾斯等。</w:t>
            </w:r>
          </w:p>
        </w:tc>
        <w:tc>
          <w:tcPr>
            <w:tcW w:w="44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1"/>
                <w:szCs w:val="21"/>
                <w:highlight w:val="none"/>
                <w:u w:val="none"/>
                <w:lang w:val="en-US" w:eastAsia="zh-CN" w:bidi="ar"/>
              </w:rPr>
            </w:pPr>
            <w:r>
              <w:rPr>
                <w:rFonts w:hint="eastAsia" w:ascii="宋体" w:hAnsi="宋体" w:cs="宋体"/>
                <w:i w:val="0"/>
                <w:iCs w:val="0"/>
                <w:color w:val="auto"/>
                <w:kern w:val="0"/>
                <w:sz w:val="21"/>
                <w:szCs w:val="21"/>
                <w:highlight w:val="none"/>
                <w:u w:val="none"/>
                <w:lang w:val="en-US" w:eastAsia="zh-CN" w:bidi="ar"/>
              </w:rPr>
              <w:t>盒</w:t>
            </w:r>
          </w:p>
        </w:tc>
        <w:tc>
          <w:tcPr>
            <w:tcW w:w="38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2"/>
                <w:szCs w:val="22"/>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59" w:hRule="atLeast"/>
        </w:trPr>
        <w:tc>
          <w:tcPr>
            <w:tcW w:w="231"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说明</w:t>
            </w:r>
          </w:p>
        </w:tc>
        <w:tc>
          <w:tcPr>
            <w:tcW w:w="4768" w:type="pct"/>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仿宋" w:hAnsi="仿宋" w:eastAsia="仿宋" w:cs="Times New Roman"/>
                <w:sz w:val="22"/>
                <w:szCs w:val="22"/>
                <w:lang w:val="en-US" w:eastAsia="zh-CN"/>
              </w:rPr>
            </w:pPr>
            <w:r>
              <w:rPr>
                <w:rFonts w:hint="eastAsia" w:ascii="仿宋" w:hAnsi="仿宋" w:eastAsia="仿宋" w:cs="Times New Roman"/>
                <w:sz w:val="22"/>
                <w:szCs w:val="22"/>
                <w:lang w:val="en-US" w:eastAsia="zh-CN"/>
              </w:rPr>
              <w:t>1.报价方须对所报价包内所有产品和数量进行报价，否则视为无效报价。</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仿宋" w:hAnsi="仿宋" w:eastAsia="仿宋" w:cs="Times New Roman"/>
                <w:sz w:val="22"/>
                <w:szCs w:val="22"/>
                <w:lang w:val="en-US" w:eastAsia="zh-CN"/>
              </w:rPr>
            </w:pPr>
            <w:r>
              <w:rPr>
                <w:rFonts w:hint="eastAsia" w:ascii="仿宋" w:hAnsi="仿宋" w:eastAsia="仿宋" w:cs="Times New Roman"/>
                <w:sz w:val="22"/>
                <w:szCs w:val="22"/>
                <w:lang w:val="en-US" w:eastAsia="zh-CN"/>
              </w:rPr>
              <w:t>2.供应商的响应文件必须标明所投货物的品牌与参数，保证原厂正品供货，提供相关资料等。</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仿宋" w:hAnsi="仿宋" w:eastAsia="仿宋" w:cs="Times New Roman"/>
                <w:b/>
                <w:bCs/>
                <w:sz w:val="22"/>
                <w:szCs w:val="22"/>
                <w:lang w:val="en-US" w:eastAsia="zh-CN"/>
              </w:rPr>
              <w:t>3.以上产品技术要求必须全部满足，需提供技术证明文件之一（技术要求中要求的证明文件、第三方检测报告、产品技术白皮书、产品使用说明书、产品彩页）予以证明所提供的产品符合以上技术要求。</w:t>
            </w:r>
          </w:p>
        </w:tc>
      </w:tr>
    </w:tbl>
    <w:p>
      <w:pPr>
        <w:pStyle w:val="6"/>
        <w:widowControl w:val="0"/>
        <w:numPr>
          <w:ilvl w:val="0"/>
          <w:numId w:val="0"/>
        </w:numPr>
        <w:autoSpaceDE w:val="0"/>
        <w:autoSpaceDN w:val="0"/>
        <w:adjustRightInd w:val="0"/>
        <w:spacing w:line="500" w:lineRule="exact"/>
        <w:ind w:left="568" w:leftChars="0"/>
        <w:jc w:val="both"/>
        <w:rPr>
          <w:rFonts w:hint="eastAsia" w:ascii="Times New Roman" w:hAnsi="Times New Roman" w:eastAsia="黑体" w:cs="Times New Roman"/>
          <w:sz w:val="24"/>
          <w:szCs w:val="24"/>
          <w:lang w:val="zh-CN" w:eastAsia="zh-CN"/>
        </w:rPr>
      </w:pPr>
      <w:r>
        <w:rPr>
          <w:rFonts w:hint="eastAsia" w:ascii="Times New Roman" w:hAnsi="Times New Roman" w:eastAsia="黑体" w:cs="Times New Roman"/>
          <w:sz w:val="24"/>
          <w:szCs w:val="24"/>
          <w:lang w:val="zh-CN" w:eastAsia="zh-CN"/>
        </w:rPr>
        <w:t>二、商务要求</w:t>
      </w:r>
    </w:p>
    <w:p>
      <w:pPr>
        <w:spacing w:line="400" w:lineRule="exact"/>
        <w:ind w:firstLine="482" w:firstLineChars="200"/>
        <w:rPr>
          <w:rFonts w:hint="eastAsia" w:ascii="仿宋" w:hAnsi="仿宋" w:eastAsia="仿宋" w:cs="仿宋"/>
        </w:rPr>
      </w:pPr>
      <w:r>
        <w:rPr>
          <w:rFonts w:hint="eastAsia" w:ascii="仿宋" w:hAnsi="仿宋" w:eastAsia="仿宋" w:cs="仿宋"/>
          <w:b/>
          <w:bCs/>
        </w:rPr>
        <w:t>（一）报价要求：</w:t>
      </w:r>
      <w:r>
        <w:rPr>
          <w:rFonts w:hint="eastAsia" w:ascii="仿宋" w:hAnsi="仿宋" w:eastAsia="仿宋" w:cs="仿宋"/>
        </w:rPr>
        <w:t>供应商的报价应包括：人员费用、运输费用、</w:t>
      </w:r>
      <w:r>
        <w:rPr>
          <w:rFonts w:hint="eastAsia" w:ascii="仿宋" w:hAnsi="仿宋" w:eastAsia="仿宋" w:cs="仿宋"/>
          <w:lang w:eastAsia="zh-CN"/>
        </w:rPr>
        <w:t>产品费、</w:t>
      </w:r>
      <w:r>
        <w:rPr>
          <w:rFonts w:hint="eastAsia" w:ascii="仿宋" w:hAnsi="仿宋" w:eastAsia="仿宋" w:cs="仿宋"/>
        </w:rPr>
        <w:t>管理费及税金等为完成</w:t>
      </w:r>
      <w:r>
        <w:rPr>
          <w:rFonts w:hint="eastAsia" w:ascii="仿宋" w:hAnsi="仿宋" w:eastAsia="仿宋" w:cs="仿宋"/>
          <w:lang w:eastAsia="zh-CN"/>
        </w:rPr>
        <w:t>询价</w:t>
      </w:r>
      <w:r>
        <w:rPr>
          <w:rFonts w:hint="eastAsia" w:ascii="仿宋" w:hAnsi="仿宋" w:eastAsia="仿宋" w:cs="仿宋"/>
        </w:rPr>
        <w:t>文件规定全部内容所需的一切应有费用。</w:t>
      </w:r>
    </w:p>
    <w:p>
      <w:pPr>
        <w:spacing w:line="400" w:lineRule="exact"/>
        <w:ind w:firstLine="482" w:firstLineChars="200"/>
        <w:rPr>
          <w:rFonts w:hint="eastAsia" w:ascii="仿宋" w:hAnsi="仿宋" w:eastAsia="仿宋" w:cs="仿宋"/>
          <w:snapToGrid w:val="0"/>
          <w:lang w:val="zh-CN" w:eastAsia="zh-CN"/>
        </w:rPr>
      </w:pPr>
      <w:r>
        <w:rPr>
          <w:rFonts w:hint="eastAsia" w:ascii="仿宋" w:hAnsi="仿宋" w:eastAsia="仿宋" w:cs="仿宋"/>
          <w:b/>
          <w:bCs/>
          <w:snapToGrid w:val="0"/>
          <w:lang w:eastAsia="zh-CN"/>
        </w:rPr>
        <w:t>（二）交货地点：安庆市境内</w:t>
      </w:r>
    </w:p>
    <w:p>
      <w:pPr>
        <w:spacing w:line="400" w:lineRule="exact"/>
        <w:ind w:firstLine="480" w:firstLineChars="200"/>
        <w:rPr>
          <w:rFonts w:hint="eastAsia" w:ascii="仿宋" w:hAnsi="仿宋" w:eastAsia="仿宋" w:cs="仿宋"/>
          <w:lang w:eastAsia="zh-CN"/>
        </w:rPr>
      </w:pPr>
      <w:r>
        <w:rPr>
          <w:rFonts w:hint="eastAsia" w:ascii="仿宋" w:hAnsi="仿宋" w:eastAsia="仿宋" w:cs="仿宋"/>
        </w:rPr>
        <w:t>（</w:t>
      </w:r>
      <w:r>
        <w:rPr>
          <w:rFonts w:hint="eastAsia" w:ascii="仿宋" w:hAnsi="仿宋" w:eastAsia="仿宋" w:cs="仿宋"/>
          <w:b/>
          <w:bCs/>
          <w:snapToGrid w:val="0"/>
          <w:lang w:eastAsia="zh-CN"/>
        </w:rPr>
        <w:t>三）人员培训要求（如有）</w:t>
      </w:r>
    </w:p>
    <w:p>
      <w:pPr>
        <w:spacing w:line="400" w:lineRule="exact"/>
        <w:ind w:firstLine="480" w:firstLineChars="200"/>
        <w:rPr>
          <w:rFonts w:hint="eastAsia" w:ascii="仿宋" w:hAnsi="仿宋" w:eastAsia="仿宋" w:cs="仿宋"/>
        </w:rPr>
      </w:pPr>
      <w:r>
        <w:rPr>
          <w:rFonts w:hint="eastAsia" w:ascii="仿宋" w:hAnsi="仿宋" w:eastAsia="仿宋" w:cs="仿宋"/>
        </w:rPr>
        <w:t>货物安装、调试、验收合格后，中标人应对招标人的相关人员进行免费现场培训。</w:t>
      </w:r>
    </w:p>
    <w:p>
      <w:pPr>
        <w:spacing w:line="400" w:lineRule="exact"/>
        <w:ind w:firstLine="482" w:firstLineChars="200"/>
        <w:rPr>
          <w:rFonts w:hint="eastAsia" w:ascii="仿宋" w:hAnsi="仿宋" w:eastAsia="仿宋" w:cs="仿宋"/>
          <w:b/>
          <w:bCs/>
          <w:snapToGrid w:val="0"/>
          <w:lang w:eastAsia="zh-CN"/>
        </w:rPr>
      </w:pPr>
      <w:r>
        <w:rPr>
          <w:rFonts w:hint="eastAsia" w:ascii="仿宋" w:hAnsi="仿宋" w:eastAsia="仿宋" w:cs="仿宋"/>
          <w:b/>
          <w:bCs/>
          <w:snapToGrid w:val="0"/>
          <w:lang w:eastAsia="zh-CN"/>
        </w:rPr>
        <w:t>（四）售后服务</w:t>
      </w:r>
    </w:p>
    <w:p>
      <w:pPr>
        <w:spacing w:line="400" w:lineRule="exact"/>
        <w:ind w:firstLine="482" w:firstLineChars="200"/>
        <w:rPr>
          <w:rFonts w:hint="eastAsia" w:ascii="仿宋" w:hAnsi="仿宋" w:eastAsia="仿宋" w:cs="仿宋"/>
          <w:lang w:eastAsia="zh-CN"/>
        </w:rPr>
      </w:pPr>
      <w:r>
        <w:rPr>
          <w:rFonts w:hint="eastAsia" w:ascii="仿宋" w:hAnsi="仿宋" w:eastAsia="仿宋" w:cs="仿宋"/>
          <w:b/>
          <w:bCs/>
          <w:lang w:val="en-US" w:eastAsia="zh-CN"/>
        </w:rPr>
        <w:t>1.</w:t>
      </w:r>
      <w:r>
        <w:rPr>
          <w:rFonts w:hint="eastAsia" w:ascii="仿宋" w:hAnsi="仿宋" w:eastAsia="仿宋" w:cs="仿宋"/>
          <w:b/>
          <w:bCs/>
        </w:rPr>
        <w:t>保修及售后服务：</w:t>
      </w:r>
      <w:r>
        <w:rPr>
          <w:rFonts w:hint="eastAsia" w:ascii="仿宋" w:hAnsi="仿宋" w:eastAsia="仿宋" w:cs="仿宋"/>
        </w:rPr>
        <w:t>依据商品的保修条款及售后服务条款，提供原厂质保，质保期按照国家规定，且不低于所供品牌向用户承诺的质保期限。招标文件另有约定的从其约定。质保期从货物验收合格后算起。</w:t>
      </w:r>
    </w:p>
    <w:p>
      <w:pPr>
        <w:spacing w:line="400" w:lineRule="exact"/>
        <w:ind w:firstLine="482" w:firstLineChars="200"/>
        <w:rPr>
          <w:rFonts w:hint="default" w:ascii="仿宋" w:hAnsi="仿宋" w:eastAsia="仿宋" w:cs="仿宋"/>
          <w:snapToGrid w:val="0"/>
          <w:lang w:val="en-US" w:eastAsia="zh-CN"/>
        </w:rPr>
      </w:pPr>
      <w:r>
        <w:rPr>
          <w:rFonts w:hint="eastAsia" w:ascii="仿宋" w:hAnsi="仿宋" w:eastAsia="仿宋" w:cs="仿宋"/>
          <w:b/>
          <w:bCs/>
          <w:lang w:val="en-US" w:eastAsia="zh-CN"/>
        </w:rPr>
        <w:t>2.供货要求：</w:t>
      </w:r>
      <w:r>
        <w:rPr>
          <w:rFonts w:hint="eastAsia" w:ascii="仿宋" w:hAnsi="仿宋" w:eastAsia="仿宋" w:cs="仿宋"/>
          <w:snapToGrid w:val="0"/>
          <w:lang w:val="en-US" w:eastAsia="zh-CN"/>
        </w:rPr>
        <w:t>供应商成交以后，采购人按批次向供应商发出供货通知书时，成交供应商应在15个日历天内完成供货，否则，采购人有权解除合同，由此造成的全部损失，由成交供应商全部承担。</w:t>
      </w:r>
    </w:p>
    <w:p>
      <w:pPr>
        <w:spacing w:line="400" w:lineRule="exact"/>
        <w:ind w:firstLine="480" w:firstLineChars="200"/>
        <w:rPr>
          <w:rFonts w:hint="eastAsia" w:ascii="仿宋" w:hAnsi="仿宋" w:eastAsia="仿宋" w:cs="仿宋"/>
          <w:snapToGrid w:val="0"/>
          <w:lang w:val="zh-CN"/>
        </w:rPr>
      </w:pPr>
      <w:r>
        <w:rPr>
          <w:rFonts w:hint="eastAsia" w:ascii="仿宋" w:hAnsi="仿宋" w:eastAsia="仿宋" w:cs="仿宋"/>
          <w:snapToGrid w:val="0"/>
          <w:lang w:val="en-US" w:eastAsia="zh-CN"/>
        </w:rPr>
        <w:t>3</w:t>
      </w:r>
      <w:r>
        <w:rPr>
          <w:rFonts w:hint="eastAsia" w:ascii="仿宋" w:hAnsi="仿宋" w:eastAsia="仿宋" w:cs="仿宋"/>
          <w:snapToGrid w:val="0"/>
        </w:rPr>
        <w:t>.</w:t>
      </w:r>
      <w:r>
        <w:rPr>
          <w:rFonts w:hint="eastAsia" w:ascii="仿宋" w:hAnsi="仿宋" w:eastAsia="仿宋" w:cs="仿宋"/>
          <w:snapToGrid w:val="0"/>
          <w:lang w:val="zh-CN"/>
        </w:rPr>
        <w:t>报价方对提供的货物在质保期内，因产品质量而导致的缺陷，必须免费提供包换、包退服务。</w:t>
      </w:r>
    </w:p>
    <w:p>
      <w:pPr>
        <w:spacing w:line="400" w:lineRule="exact"/>
        <w:ind w:firstLine="482" w:firstLineChars="200"/>
        <w:rPr>
          <w:rFonts w:hint="eastAsia" w:ascii="仿宋" w:hAnsi="仿宋" w:eastAsia="仿宋" w:cs="仿宋"/>
        </w:rPr>
      </w:pPr>
      <w:r>
        <w:rPr>
          <w:rFonts w:hint="eastAsia" w:ascii="仿宋" w:hAnsi="仿宋" w:eastAsia="仿宋" w:cs="仿宋"/>
          <w:b/>
          <w:bCs/>
          <w:snapToGrid w:val="0"/>
          <w:lang w:val="en-US" w:eastAsia="zh-CN"/>
        </w:rPr>
        <w:t>4.付款及结算方式：</w:t>
      </w:r>
      <w:r>
        <w:rPr>
          <w:rFonts w:hint="eastAsia" w:ascii="仿宋" w:hAnsi="仿宋" w:eastAsia="仿宋" w:cs="仿宋"/>
        </w:rPr>
        <w:t>验收合格后</w:t>
      </w:r>
      <w:r>
        <w:rPr>
          <w:rFonts w:hint="eastAsia" w:ascii="仿宋" w:hAnsi="仿宋" w:eastAsia="仿宋" w:cs="仿宋"/>
          <w:snapToGrid w:val="0"/>
          <w:lang w:val="zh-CN"/>
        </w:rPr>
        <w:t>，成交供应商按采购人要求凭国家正式发票及相关证明文件向采购人申请付款，采购人收到申请后在</w:t>
      </w:r>
      <w:r>
        <w:rPr>
          <w:rFonts w:hint="eastAsia" w:ascii="仿宋" w:hAnsi="仿宋" w:eastAsia="仿宋" w:cs="仿宋"/>
          <w:snapToGrid w:val="0"/>
          <w:lang w:val="en-US" w:eastAsia="zh-CN"/>
        </w:rPr>
        <w:t>15</w:t>
      </w:r>
      <w:r>
        <w:rPr>
          <w:rFonts w:hint="eastAsia" w:ascii="仿宋" w:hAnsi="仿宋" w:eastAsia="仿宋" w:cs="仿宋"/>
          <w:snapToGrid w:val="0"/>
          <w:lang w:val="zh-CN"/>
        </w:rPr>
        <w:t>个工作日内结清</w:t>
      </w:r>
      <w:r>
        <w:rPr>
          <w:rFonts w:hint="eastAsia" w:ascii="仿宋" w:hAnsi="仿宋" w:eastAsia="仿宋" w:cs="仿宋"/>
          <w:snapToGrid w:val="0"/>
          <w:lang w:val="zh-CN" w:eastAsia="zh-CN"/>
        </w:rPr>
        <w:t>全部</w:t>
      </w:r>
      <w:r>
        <w:rPr>
          <w:rFonts w:hint="eastAsia" w:ascii="仿宋" w:hAnsi="仿宋" w:eastAsia="仿宋" w:cs="仿宋"/>
          <w:snapToGrid w:val="0"/>
          <w:lang w:val="zh-CN"/>
        </w:rPr>
        <w:t>货款。</w:t>
      </w:r>
    </w:p>
    <w:p>
      <w:pPr>
        <w:spacing w:line="400" w:lineRule="exact"/>
        <w:ind w:firstLine="482" w:firstLineChars="200"/>
        <w:rPr>
          <w:rFonts w:hint="eastAsia" w:ascii="仿宋" w:hAnsi="仿宋" w:eastAsia="仿宋" w:cs="仿宋"/>
          <w:b/>
          <w:bCs/>
        </w:rPr>
      </w:pPr>
      <w:r>
        <w:rPr>
          <w:rFonts w:hint="eastAsia" w:ascii="仿宋" w:hAnsi="仿宋" w:eastAsia="仿宋" w:cs="仿宋"/>
          <w:b/>
          <w:bCs/>
        </w:rPr>
        <w:t>（</w:t>
      </w:r>
      <w:r>
        <w:rPr>
          <w:rFonts w:hint="eastAsia" w:ascii="仿宋" w:hAnsi="仿宋" w:eastAsia="仿宋" w:cs="仿宋"/>
          <w:b/>
          <w:bCs/>
          <w:lang w:eastAsia="zh-CN"/>
        </w:rPr>
        <w:t>五</w:t>
      </w:r>
      <w:r>
        <w:rPr>
          <w:rFonts w:hint="eastAsia" w:ascii="仿宋" w:hAnsi="仿宋" w:eastAsia="仿宋" w:cs="仿宋"/>
          <w:b/>
          <w:bCs/>
        </w:rPr>
        <w:t>）验收方法及标准</w:t>
      </w:r>
    </w:p>
    <w:p>
      <w:pPr>
        <w:spacing w:line="400" w:lineRule="exact"/>
        <w:ind w:firstLine="480" w:firstLineChars="200"/>
        <w:rPr>
          <w:rFonts w:hint="eastAsia" w:ascii="仿宋" w:hAnsi="仿宋" w:eastAsia="仿宋" w:cs="仿宋"/>
        </w:rPr>
      </w:pPr>
      <w:r>
        <w:rPr>
          <w:rFonts w:hint="eastAsia" w:ascii="仿宋" w:hAnsi="仿宋" w:eastAsia="仿宋" w:cs="仿宋"/>
        </w:rPr>
        <w:t>按照签订的采购合同</w:t>
      </w:r>
      <w:r>
        <w:rPr>
          <w:rFonts w:hint="eastAsia" w:ascii="仿宋" w:hAnsi="仿宋" w:eastAsia="仿宋" w:cs="仿宋"/>
          <w:lang w:eastAsia="zh-CN"/>
        </w:rPr>
        <w:t>、</w:t>
      </w:r>
      <w:r>
        <w:rPr>
          <w:rFonts w:hint="eastAsia" w:ascii="仿宋" w:hAnsi="仿宋" w:eastAsia="仿宋" w:cs="仿宋"/>
        </w:rPr>
        <w:t>技术要求及标准对每一环节、标准的履约情况进行验收。验收结束后，应当出具验收书，由双方共同签署。</w:t>
      </w:r>
    </w:p>
    <w:p/>
    <w:sectPr>
      <w:pgSz w:w="11906" w:h="16838"/>
      <w:pgMar w:top="1417"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3000509000000000000"/>
    <w:charset w:val="86"/>
    <w:family w:val="script"/>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8DA07B2"/>
    <w:multiLevelType w:val="singleLevel"/>
    <w:tmpl w:val="28DA07B2"/>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UzYWY5MzIxMjU4MjUwZWE0MTI1N2RmNTQ4Y2EzMDUifQ=="/>
  </w:docVars>
  <w:rsids>
    <w:rsidRoot w:val="3F17079B"/>
    <w:rsid w:val="3F1707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sz w:val="24"/>
      <w:szCs w:val="24"/>
      <w:lang w:val="en-US" w:eastAsia="zh-CN" w:bidi="ar-SA"/>
    </w:rPr>
  </w:style>
  <w:style w:type="paragraph" w:styleId="2">
    <w:name w:val="heading 2"/>
    <w:basedOn w:val="1"/>
    <w:next w:val="1"/>
    <w:qFormat/>
    <w:uiPriority w:val="0"/>
    <w:pPr>
      <w:keepNext/>
      <w:keepLines/>
      <w:widowControl/>
      <w:spacing w:before="260" w:after="260" w:line="416" w:lineRule="auto"/>
      <w:jc w:val="left"/>
      <w:outlineLvl w:val="1"/>
    </w:pPr>
    <w:rPr>
      <w:rFonts w:ascii="Arial" w:hAnsi="Arial" w:eastAsia="黑体"/>
      <w:b/>
      <w:sz w:val="32"/>
      <w:szCs w:val="20"/>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Plain Text"/>
    <w:basedOn w:val="1"/>
    <w:qFormat/>
    <w:uiPriority w:val="0"/>
    <w:rPr>
      <w:rFonts w:ascii="宋体" w:hAnsi="Courier New" w:cs="Courier New"/>
      <w:kern w:val="2"/>
      <w:szCs w:val="21"/>
    </w:rPr>
  </w:style>
  <w:style w:type="paragraph" w:customStyle="1" w:styleId="6">
    <w:name w:val="List Paragraph"/>
    <w:basedOn w:val="1"/>
    <w:qFormat/>
    <w:uiPriority w:val="0"/>
    <w:pPr>
      <w:widowControl/>
      <w:ind w:left="720" w:firstLine="360"/>
      <w:jc w:val="left"/>
    </w:pPr>
    <w:rPr>
      <w:rFonts w:ascii="Calibri" w:hAnsi="Calibri"/>
      <w:sz w:val="22"/>
      <w:szCs w:val="20"/>
      <w:lang w:eastAsia="en-U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2022-12-07T07:38:00Z</dcterms:created>
  <dc:creator>Administrator</dc:creator>
  <cp:lastModifiedBy>Administrator</cp:lastModifiedBy>
  <dcterms:modified xsi:type="dcterms:W3CDTF">2022-12-07T07:41:07Z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34320805A31244B7B6463C4E6FD28B01</vt:lpwstr>
  </property>
</Properties>
</file>