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方正小标宋_GBK" w:hAnsi="方正小标宋_GBK" w:eastAsia="方正小标宋_GBK" w:cs="方正小标宋_GBK"/>
          <w:b w:val="0"/>
          <w:bCs w:val="0"/>
          <w:sz w:val="24"/>
          <w:szCs w:val="24"/>
          <w:lang w:eastAsia="zh-CN"/>
        </w:rPr>
      </w:pPr>
      <w:r>
        <w:rPr>
          <w:rFonts w:hint="eastAsia" w:ascii="方正小标宋_GBK" w:hAnsi="方正小标宋_GBK" w:eastAsia="方正小标宋_GBK" w:cs="方正小标宋_GBK"/>
          <w:b w:val="0"/>
          <w:bCs w:val="0"/>
          <w:sz w:val="24"/>
          <w:szCs w:val="24"/>
          <w:lang w:eastAsia="zh-CN"/>
        </w:rPr>
        <w:t>附件：安庆市疾病预防控制中心疫苗冷库及疫苗冷链设备科学验证及校准服务</w:t>
      </w:r>
      <w:r>
        <w:rPr>
          <w:rFonts w:hint="eastAsia" w:ascii="方正小标宋_GBK" w:hAnsi="方正小标宋_GBK" w:eastAsia="方正小标宋_GBK" w:cs="方正小标宋_GBK"/>
          <w:b w:val="0"/>
          <w:bCs w:val="0"/>
          <w:sz w:val="24"/>
          <w:szCs w:val="24"/>
          <w:lang w:val="en-US" w:eastAsia="zh-CN"/>
        </w:rPr>
        <w:t>采购项目（五次）</w:t>
      </w:r>
      <w:bookmarkStart w:id="0" w:name="_GoBack"/>
      <w:bookmarkEnd w:id="0"/>
      <w:r>
        <w:rPr>
          <w:rFonts w:hint="eastAsia" w:ascii="方正小标宋_GBK" w:hAnsi="方正小标宋_GBK" w:eastAsia="方正小标宋_GBK" w:cs="方正小标宋_GBK"/>
          <w:b w:val="0"/>
          <w:bCs w:val="0"/>
          <w:sz w:val="24"/>
          <w:szCs w:val="24"/>
          <w:lang w:eastAsia="zh-CN"/>
        </w:rPr>
        <w:t>需求及技术要求</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bCs/>
          <w:szCs w:val="24"/>
          <w:lang w:eastAsia="zh-CN"/>
        </w:rPr>
      </w:pPr>
      <w:r>
        <w:rPr>
          <w:rFonts w:hint="eastAsia" w:ascii="黑体" w:hAnsi="黑体" w:eastAsia="黑体" w:cs="黑体"/>
          <w:b w:val="0"/>
          <w:bCs w:val="0"/>
          <w:sz w:val="24"/>
          <w:szCs w:val="24"/>
          <w:lang w:eastAsia="zh-CN"/>
        </w:rPr>
        <w:t>采购需求一览表及技术要求</w:t>
      </w:r>
    </w:p>
    <w:tbl>
      <w:tblPr>
        <w:tblStyle w:val="10"/>
        <w:tblW w:w="99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0"/>
        <w:gridCol w:w="1014"/>
        <w:gridCol w:w="7284"/>
        <w:gridCol w:w="1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baseline"/>
              <w:rPr>
                <w:rFonts w:ascii="宋体" w:hAnsi="宋体" w:eastAsia="Calibri" w:cs="Times New Roman"/>
                <w:b/>
                <w:bCs/>
                <w:color w:val="000000"/>
                <w:kern w:val="2"/>
                <w:sz w:val="24"/>
                <w:szCs w:val="24"/>
                <w:lang w:val="en-US" w:eastAsia="zh-CN" w:bidi="ar-SA"/>
              </w:rPr>
            </w:pPr>
            <w:r>
              <w:rPr>
                <w:rStyle w:val="12"/>
                <w:rFonts w:ascii="宋体" w:hAnsi="宋体" w:eastAsia="Calibri"/>
                <w:b/>
                <w:bCs/>
                <w:color w:val="000000"/>
                <w:kern w:val="2"/>
                <w:sz w:val="24"/>
                <w:szCs w:val="24"/>
                <w:lang w:val="en-US" w:eastAsia="zh-CN" w:bidi="ar-SA"/>
              </w:rPr>
              <w:t>序号</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103" w:leftChars="43"/>
              <w:jc w:val="center"/>
              <w:textAlignment w:val="baseline"/>
              <w:rPr>
                <w:rFonts w:ascii="宋体" w:hAnsi="宋体" w:eastAsia="Calibri" w:cs="Times New Roman"/>
                <w:b/>
                <w:bCs/>
                <w:color w:val="000000"/>
                <w:kern w:val="2"/>
                <w:sz w:val="24"/>
                <w:szCs w:val="24"/>
                <w:lang w:val="en-US" w:eastAsia="zh-CN" w:bidi="ar-SA"/>
              </w:rPr>
            </w:pPr>
            <w:r>
              <w:rPr>
                <w:rStyle w:val="12"/>
                <w:rFonts w:ascii="宋体" w:hAnsi="宋体" w:eastAsia="Calibri"/>
                <w:b/>
                <w:bCs/>
                <w:color w:val="000000"/>
                <w:kern w:val="2"/>
                <w:sz w:val="24"/>
                <w:szCs w:val="24"/>
                <w:lang w:val="en-US" w:eastAsia="zh-CN" w:bidi="ar-SA"/>
              </w:rPr>
              <w:t>项目</w:t>
            </w:r>
          </w:p>
        </w:tc>
        <w:tc>
          <w:tcPr>
            <w:tcW w:w="728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baseline"/>
              <w:rPr>
                <w:rFonts w:ascii="宋体" w:hAnsi="宋体" w:eastAsia="Calibri" w:cs="Times New Roman"/>
                <w:color w:val="000000"/>
                <w:kern w:val="2"/>
                <w:sz w:val="24"/>
                <w:szCs w:val="24"/>
                <w:lang w:val="en-US" w:eastAsia="zh-CN" w:bidi="ar-SA"/>
              </w:rPr>
            </w:pPr>
            <w:r>
              <w:rPr>
                <w:rFonts w:hint="eastAsia" w:ascii="宋体" w:hAnsi="宋体" w:eastAsia="Calibri" w:cs="Times New Roman"/>
                <w:b/>
                <w:bCs/>
                <w:color w:val="000000"/>
                <w:kern w:val="2"/>
                <w:sz w:val="24"/>
                <w:szCs w:val="24"/>
                <w:lang w:val="en-US" w:eastAsia="zh-CN" w:bidi="ar-SA"/>
              </w:rPr>
              <w:t>技术要求</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baseline"/>
              <w:rPr>
                <w:rFonts w:ascii="宋体" w:hAnsi="宋体" w:eastAsia="Calibri" w:cs="宋体"/>
                <w:b/>
                <w:bCs/>
                <w:kern w:val="2"/>
                <w:sz w:val="24"/>
                <w:szCs w:val="20"/>
                <w:lang w:val="en-US" w:eastAsia="zh-CN" w:bidi="ar-SA"/>
              </w:rPr>
            </w:pPr>
            <w:r>
              <w:rPr>
                <w:rStyle w:val="12"/>
                <w:rFonts w:hint="eastAsia" w:ascii="宋体" w:hAnsi="宋体" w:eastAsia="Calibri" w:cs="宋体"/>
                <w:b/>
                <w:bCs/>
                <w:kern w:val="2"/>
                <w:sz w:val="24"/>
                <w:szCs w:val="20"/>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6" w:hRule="atLeast"/>
        </w:trPr>
        <w:tc>
          <w:tcPr>
            <w:tcW w:w="630" w:type="dxa"/>
            <w:tcBorders>
              <w:left w:val="single" w:color="000000" w:sz="4" w:space="0"/>
              <w:right w:val="single" w:color="000000" w:sz="4" w:space="0"/>
            </w:tcBorders>
            <w:noWrap w:val="0"/>
            <w:vAlign w:val="center"/>
          </w:tcPr>
          <w:p>
            <w:pPr>
              <w:pStyle w:val="13"/>
              <w:ind w:firstLine="0" w:firstLineChars="0"/>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1</w:t>
            </w:r>
          </w:p>
        </w:tc>
        <w:tc>
          <w:tcPr>
            <w:tcW w:w="1014" w:type="dxa"/>
            <w:tcBorders>
              <w:left w:val="single" w:color="000000" w:sz="4" w:space="0"/>
              <w:right w:val="single" w:color="000000" w:sz="4" w:space="0"/>
            </w:tcBorders>
            <w:noWrap w:val="0"/>
            <w:vAlign w:val="center"/>
          </w:tcPr>
          <w:p>
            <w:pPr>
              <w:pStyle w:val="13"/>
              <w:ind w:firstLine="0" w:firstLineChars="0"/>
              <w:jc w:val="center"/>
              <w:rPr>
                <w:rFonts w:hint="default" w:ascii="Times New Roman" w:hAnsi="宋体" w:eastAsia="宋体" w:cs="宋体"/>
                <w:kern w:val="0"/>
                <w:sz w:val="24"/>
                <w:szCs w:val="24"/>
                <w:lang w:val="en-US" w:eastAsia="zh-CN" w:bidi="ar-SA"/>
              </w:rPr>
            </w:pPr>
            <w:r>
              <w:rPr>
                <w:rFonts w:hint="eastAsia" w:ascii="仿宋" w:hAnsi="仿宋" w:eastAsia="仿宋" w:cs="Times New Roman"/>
                <w:b/>
                <w:bCs/>
                <w:kern w:val="0"/>
                <w:sz w:val="22"/>
                <w:szCs w:val="22"/>
                <w:lang w:val="en-US" w:eastAsia="zh-CN" w:bidi="ar-SA"/>
              </w:rPr>
              <w:t>冷库、冷藏车、保温箱验证服务</w:t>
            </w:r>
          </w:p>
        </w:tc>
        <w:tc>
          <w:tcPr>
            <w:tcW w:w="728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Times New Roman"/>
                <w:b/>
                <w:bCs/>
                <w:sz w:val="24"/>
                <w:szCs w:val="24"/>
                <w:lang w:val="en-US" w:eastAsia="zh-CN"/>
              </w:rPr>
            </w:pPr>
            <w:r>
              <w:rPr>
                <w:rFonts w:hint="eastAsia" w:ascii="仿宋" w:hAnsi="仿宋" w:eastAsia="仿宋" w:cs="Times New Roman"/>
                <w:b/>
                <w:bCs/>
                <w:sz w:val="24"/>
                <w:szCs w:val="24"/>
                <w:lang w:val="en-US" w:eastAsia="zh-CN"/>
              </w:rPr>
              <w:t>验证项目按附录《验证管理》规定包含以下内容：</w:t>
            </w:r>
          </w:p>
          <w:p>
            <w:pPr>
              <w:keepNext w:val="0"/>
              <w:keepLines w:val="0"/>
              <w:pageBreakBefore w:val="0"/>
              <w:widowControl w:val="0"/>
              <w:kinsoku/>
              <w:wordWrap/>
              <w:overflowPunct/>
              <w:topLinePunct w:val="0"/>
              <w:autoSpaceDE/>
              <w:autoSpaceDN/>
              <w:bidi w:val="0"/>
              <w:adjustRightInd/>
              <w:snapToGrid/>
              <w:spacing w:line="320" w:lineRule="exact"/>
              <w:ind w:firstLine="442" w:firstLineChars="200"/>
              <w:jc w:val="left"/>
              <w:textAlignment w:val="auto"/>
              <w:rPr>
                <w:rFonts w:hint="eastAsia" w:ascii="仿宋" w:hAnsi="仿宋" w:eastAsia="仿宋" w:cs="Times New Roman"/>
                <w:b/>
                <w:bCs/>
                <w:sz w:val="22"/>
                <w:szCs w:val="22"/>
                <w:lang w:val="en-US" w:eastAsia="zh-CN"/>
              </w:rPr>
            </w:pPr>
            <w:r>
              <w:rPr>
                <w:rFonts w:hint="eastAsia" w:ascii="仿宋" w:hAnsi="仿宋" w:eastAsia="仿宋" w:cs="Times New Roman"/>
                <w:b/>
                <w:bCs/>
                <w:sz w:val="22"/>
                <w:szCs w:val="22"/>
                <w:lang w:val="en-US" w:eastAsia="zh-CN"/>
              </w:rPr>
              <w:t>一、冷库</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1.温度分布特性的测试与分析，确定适宜药品存放的安全位置及区域；</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2.温控设备运行参数及使用状况测试；</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3.监测系统配置的测点终端参数及安装位置确认；</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4.开门作业对库房温度分布及药品储存的影响；</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5.确定设备故障或外部供电中断的状况下，库房保温性能及变化趋势分析；</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6.对本地区的高温或低温等极端外部环境条件，分别进行保温效果评估；</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7.在新建库房初次使用前或改造后重新使用前，进行空载及满载验证；</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8.年度定期验证时，进行满载验证。</w:t>
            </w:r>
          </w:p>
          <w:p>
            <w:pPr>
              <w:keepNext w:val="0"/>
              <w:keepLines w:val="0"/>
              <w:pageBreakBefore w:val="0"/>
              <w:widowControl w:val="0"/>
              <w:kinsoku/>
              <w:wordWrap/>
              <w:overflowPunct/>
              <w:topLinePunct w:val="0"/>
              <w:autoSpaceDE/>
              <w:autoSpaceDN/>
              <w:bidi w:val="0"/>
              <w:adjustRightInd/>
              <w:snapToGrid/>
              <w:spacing w:line="320" w:lineRule="exact"/>
              <w:ind w:firstLine="442" w:firstLineChars="200"/>
              <w:jc w:val="left"/>
              <w:textAlignment w:val="auto"/>
              <w:rPr>
                <w:rFonts w:hint="default" w:ascii="仿宋" w:hAnsi="仿宋" w:eastAsia="仿宋" w:cs="Times New Roman"/>
                <w:b/>
                <w:bCs/>
                <w:sz w:val="22"/>
                <w:szCs w:val="22"/>
                <w:lang w:val="en-US" w:eastAsia="zh-CN"/>
              </w:rPr>
            </w:pPr>
            <w:r>
              <w:rPr>
                <w:rFonts w:hint="eastAsia" w:ascii="仿宋" w:hAnsi="仿宋" w:eastAsia="仿宋" w:cs="Times New Roman"/>
                <w:b/>
                <w:bCs/>
                <w:sz w:val="22"/>
                <w:szCs w:val="22"/>
                <w:lang w:val="en-US" w:eastAsia="zh-CN"/>
              </w:rPr>
              <w:t>二、冷藏车</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1.温度分布特性的测试与分析，确定适宜药品存放的安全位置及区域；</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2.温控设备运行参数及使用状况测试；</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3.监测系统配置的测点终端参数及安装位置确认；</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4.开门作业对车辆温度分布及药品储存的影响；</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5.确定设备故障或外部供电中断的状况下，车辆保温性能及变化趋势分析；</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6.对本地区的高温或低温等极端外部环境条件，分别进行保温效果评估；</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7.年度定期验证时，进行满载验证。</w:t>
            </w:r>
          </w:p>
          <w:p>
            <w:pPr>
              <w:keepNext w:val="0"/>
              <w:keepLines w:val="0"/>
              <w:pageBreakBefore w:val="0"/>
              <w:widowControl w:val="0"/>
              <w:kinsoku/>
              <w:wordWrap/>
              <w:overflowPunct/>
              <w:topLinePunct w:val="0"/>
              <w:autoSpaceDE/>
              <w:autoSpaceDN/>
              <w:bidi w:val="0"/>
              <w:adjustRightInd/>
              <w:snapToGrid/>
              <w:spacing w:line="320" w:lineRule="exact"/>
              <w:ind w:firstLine="442" w:firstLineChars="200"/>
              <w:jc w:val="left"/>
              <w:textAlignment w:val="auto"/>
              <w:rPr>
                <w:rFonts w:hint="eastAsia" w:ascii="仿宋" w:hAnsi="仿宋" w:eastAsia="仿宋" w:cs="Times New Roman"/>
                <w:b/>
                <w:bCs/>
                <w:sz w:val="22"/>
                <w:szCs w:val="22"/>
                <w:lang w:val="en-US" w:eastAsia="zh-CN"/>
              </w:rPr>
            </w:pPr>
            <w:r>
              <w:rPr>
                <w:rFonts w:hint="eastAsia" w:ascii="仿宋" w:hAnsi="仿宋" w:eastAsia="仿宋" w:cs="Times New Roman"/>
                <w:b/>
                <w:bCs/>
                <w:sz w:val="22"/>
                <w:szCs w:val="22"/>
                <w:lang w:val="en-US" w:eastAsia="zh-CN"/>
              </w:rPr>
              <w:t>三、保温箱</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1.箱内温度分布特性的测试与分析，分析箱体内温度变化及趋势；</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2.蓄冷剂配备使用的条件测试；</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3.温度自动监测设备放置位置确认；</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4.开箱作业对箱内温度分布及变化的影响；</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5.高温或低温等极端外部环境条件下的保温效果评估；</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default" w:ascii="宋体" w:hAnsi="宋体"/>
                <w:sz w:val="24"/>
                <w:szCs w:val="24"/>
                <w:highlight w:val="none"/>
                <w:lang w:val="en-US" w:eastAsia="zh-CN"/>
              </w:rPr>
            </w:pPr>
            <w:r>
              <w:rPr>
                <w:rFonts w:hint="eastAsia" w:ascii="仿宋" w:hAnsi="仿宋" w:eastAsia="仿宋" w:cs="Times New Roman"/>
                <w:sz w:val="22"/>
                <w:szCs w:val="22"/>
                <w:lang w:val="en-US" w:eastAsia="zh-CN"/>
              </w:rPr>
              <w:t xml:space="preserve">6.运输最长时限验证。 </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ind w:left="120" w:leftChars="50"/>
              <w:jc w:val="both"/>
              <w:textAlignment w:val="baseline"/>
              <w:rPr>
                <w:rStyle w:val="12"/>
                <w:rFonts w:hint="default" w:ascii="宋体" w:hAnsi="宋体" w:eastAsia="Calibri"/>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1644" w:type="dxa"/>
            <w:gridSpan w:val="2"/>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说明</w:t>
            </w:r>
          </w:p>
        </w:tc>
        <w:tc>
          <w:tcPr>
            <w:tcW w:w="82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1.报价方须对所报价包内所有服务内容进行报价，否则视为无效报价。</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2.以上技术要求必须全部满足，提供承诺函，格式自拟。</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3.科学验证及校准服务必须出具加盖公章的验证及校准报告，否则按无效响应处理。（须提供承诺函，格式自拟）</w:t>
            </w:r>
          </w:p>
          <w:p>
            <w:pPr>
              <w:keepNext w:val="0"/>
              <w:keepLines w:val="0"/>
              <w:pageBreakBefore w:val="0"/>
              <w:widowControl w:val="0"/>
              <w:kinsoku/>
              <w:wordWrap/>
              <w:overflowPunct/>
              <w:topLinePunct w:val="0"/>
              <w:autoSpaceDE/>
              <w:autoSpaceDN/>
              <w:bidi w:val="0"/>
              <w:adjustRightInd/>
              <w:snapToGrid/>
              <w:spacing w:line="320" w:lineRule="exact"/>
              <w:ind w:firstLine="442" w:firstLineChars="200"/>
              <w:jc w:val="left"/>
              <w:textAlignment w:val="auto"/>
              <w:rPr>
                <w:lang w:val="en-US" w:eastAsia="zh-CN"/>
              </w:rPr>
            </w:pPr>
            <w:r>
              <w:rPr>
                <w:rFonts w:hint="eastAsia" w:ascii="仿宋" w:hAnsi="仿宋" w:eastAsia="仿宋" w:cs="Times New Roman"/>
                <w:b/>
                <w:bCs/>
                <w:sz w:val="22"/>
                <w:szCs w:val="22"/>
                <w:lang w:val="en-US" w:eastAsia="zh-CN"/>
              </w:rPr>
              <w:t>4.验证校准1次，验证校准服务完成后，需免费质保1年。</w:t>
            </w:r>
          </w:p>
        </w:tc>
      </w:tr>
    </w:tbl>
    <w:p>
      <w:pPr>
        <w:pStyle w:val="14"/>
        <w:widowControl w:val="0"/>
        <w:numPr>
          <w:ilvl w:val="0"/>
          <w:numId w:val="0"/>
        </w:numPr>
        <w:autoSpaceDE w:val="0"/>
        <w:autoSpaceDN w:val="0"/>
        <w:adjustRightInd w:val="0"/>
        <w:spacing w:line="500" w:lineRule="exact"/>
        <w:ind w:left="568" w:leftChars="0"/>
        <w:jc w:val="both"/>
        <w:rPr>
          <w:rFonts w:hint="eastAsia" w:ascii="Times New Roman" w:hAnsi="Times New Roman" w:eastAsia="黑体" w:cs="Times New Roman"/>
          <w:sz w:val="24"/>
          <w:szCs w:val="24"/>
          <w:lang w:val="zh-CN" w:eastAsia="zh-CN"/>
        </w:rPr>
      </w:pPr>
      <w:r>
        <w:rPr>
          <w:rFonts w:hint="eastAsia" w:ascii="Times New Roman" w:hAnsi="Times New Roman" w:eastAsia="黑体" w:cs="Times New Roman"/>
          <w:sz w:val="24"/>
          <w:szCs w:val="24"/>
          <w:lang w:val="zh-CN" w:eastAsia="zh-CN"/>
        </w:rPr>
        <w:t>二、商务要求</w:t>
      </w:r>
    </w:p>
    <w:p>
      <w:pPr>
        <w:spacing w:line="400" w:lineRule="exact"/>
        <w:ind w:firstLine="482" w:firstLineChars="200"/>
        <w:rPr>
          <w:rFonts w:hint="eastAsia" w:ascii="仿宋" w:hAnsi="仿宋" w:eastAsia="仿宋" w:cs="仿宋"/>
        </w:rPr>
      </w:pPr>
      <w:r>
        <w:rPr>
          <w:rFonts w:hint="eastAsia" w:ascii="仿宋" w:hAnsi="仿宋" w:eastAsia="仿宋" w:cs="仿宋"/>
          <w:b/>
          <w:bCs/>
        </w:rPr>
        <w:t>（一）报价要求：</w:t>
      </w:r>
      <w:r>
        <w:rPr>
          <w:rFonts w:hint="eastAsia" w:ascii="仿宋" w:hAnsi="仿宋" w:eastAsia="仿宋" w:cs="仿宋"/>
        </w:rPr>
        <w:t>供应商的报价应包括：人员费用、运输费用、</w:t>
      </w:r>
      <w:r>
        <w:rPr>
          <w:rFonts w:hint="eastAsia" w:ascii="仿宋" w:hAnsi="仿宋" w:eastAsia="仿宋" w:cs="仿宋"/>
          <w:lang w:eastAsia="zh-CN"/>
        </w:rPr>
        <w:t>产品费、</w:t>
      </w:r>
      <w:r>
        <w:rPr>
          <w:rFonts w:hint="eastAsia" w:ascii="仿宋" w:hAnsi="仿宋" w:eastAsia="仿宋" w:cs="仿宋"/>
        </w:rPr>
        <w:t>管理费及税金等为完成</w:t>
      </w:r>
      <w:r>
        <w:rPr>
          <w:rFonts w:hint="eastAsia" w:ascii="仿宋" w:hAnsi="仿宋" w:eastAsia="仿宋" w:cs="仿宋"/>
          <w:lang w:eastAsia="zh-CN"/>
        </w:rPr>
        <w:t>询价</w:t>
      </w:r>
      <w:r>
        <w:rPr>
          <w:rFonts w:hint="eastAsia" w:ascii="仿宋" w:hAnsi="仿宋" w:eastAsia="仿宋" w:cs="仿宋"/>
        </w:rPr>
        <w:t>文件规定全部内容所需的一切应有费用。</w:t>
      </w:r>
    </w:p>
    <w:p>
      <w:pPr>
        <w:spacing w:line="400" w:lineRule="exact"/>
        <w:ind w:firstLine="482" w:firstLineChars="200"/>
        <w:rPr>
          <w:rFonts w:hint="eastAsia" w:ascii="仿宋" w:hAnsi="仿宋" w:eastAsia="仿宋" w:cs="仿宋"/>
          <w:snapToGrid w:val="0"/>
          <w:lang w:val="zh-CN" w:eastAsia="zh-CN"/>
        </w:rPr>
      </w:pPr>
      <w:r>
        <w:rPr>
          <w:rFonts w:hint="eastAsia" w:ascii="仿宋" w:hAnsi="仿宋" w:eastAsia="仿宋" w:cs="仿宋"/>
          <w:b/>
          <w:bCs/>
          <w:snapToGrid w:val="0"/>
          <w:lang w:eastAsia="zh-CN"/>
        </w:rPr>
        <w:t>（二）服务地点：安庆市境内</w:t>
      </w:r>
    </w:p>
    <w:p>
      <w:pPr>
        <w:spacing w:line="400" w:lineRule="exact"/>
        <w:ind w:firstLine="480" w:firstLineChars="200"/>
        <w:rPr>
          <w:rFonts w:hint="eastAsia" w:ascii="仿宋" w:hAnsi="仿宋" w:eastAsia="仿宋" w:cs="仿宋"/>
          <w:lang w:eastAsia="zh-CN"/>
        </w:rPr>
      </w:pPr>
      <w:r>
        <w:rPr>
          <w:rFonts w:hint="eastAsia" w:ascii="仿宋" w:hAnsi="仿宋" w:eastAsia="仿宋" w:cs="仿宋"/>
        </w:rPr>
        <w:t>（</w:t>
      </w:r>
      <w:r>
        <w:rPr>
          <w:rFonts w:hint="eastAsia" w:ascii="仿宋" w:hAnsi="仿宋" w:eastAsia="仿宋" w:cs="仿宋"/>
          <w:b/>
          <w:bCs/>
          <w:snapToGrid w:val="0"/>
          <w:lang w:eastAsia="zh-CN"/>
        </w:rPr>
        <w:t>三）人员培训要求（如有）</w:t>
      </w:r>
    </w:p>
    <w:p>
      <w:pPr>
        <w:spacing w:line="400" w:lineRule="exact"/>
        <w:ind w:firstLine="480" w:firstLineChars="200"/>
        <w:rPr>
          <w:rFonts w:hint="eastAsia" w:ascii="仿宋" w:hAnsi="仿宋" w:eastAsia="仿宋" w:cs="仿宋"/>
        </w:rPr>
      </w:pPr>
      <w:r>
        <w:rPr>
          <w:rFonts w:hint="eastAsia" w:ascii="仿宋" w:hAnsi="仿宋" w:eastAsia="仿宋" w:cs="仿宋"/>
        </w:rPr>
        <w:t>货物安装、调试、验收合格后，中标人应对招标人的相关人员进行免费现场培训。</w:t>
      </w:r>
    </w:p>
    <w:p>
      <w:pPr>
        <w:spacing w:line="400" w:lineRule="exact"/>
        <w:ind w:firstLine="482" w:firstLineChars="200"/>
        <w:rPr>
          <w:rFonts w:hint="eastAsia" w:ascii="仿宋" w:hAnsi="仿宋" w:eastAsia="仿宋" w:cs="仿宋"/>
          <w:b/>
          <w:bCs/>
          <w:snapToGrid w:val="0"/>
          <w:lang w:eastAsia="zh-CN"/>
        </w:rPr>
      </w:pPr>
      <w:r>
        <w:rPr>
          <w:rFonts w:hint="eastAsia" w:ascii="仿宋" w:hAnsi="仿宋" w:eastAsia="仿宋" w:cs="仿宋"/>
          <w:b/>
          <w:bCs/>
          <w:snapToGrid w:val="0"/>
          <w:lang w:eastAsia="zh-CN"/>
        </w:rPr>
        <w:t>（四）售后服务</w:t>
      </w:r>
    </w:p>
    <w:p>
      <w:pPr>
        <w:spacing w:line="400" w:lineRule="exact"/>
        <w:ind w:firstLine="482" w:firstLineChars="200"/>
        <w:rPr>
          <w:rFonts w:hint="eastAsia" w:ascii="仿宋" w:hAnsi="仿宋" w:eastAsia="仿宋" w:cs="仿宋"/>
          <w:lang w:eastAsia="zh-CN"/>
        </w:rPr>
      </w:pPr>
      <w:r>
        <w:rPr>
          <w:rFonts w:hint="eastAsia" w:ascii="仿宋" w:hAnsi="仿宋" w:eastAsia="仿宋" w:cs="仿宋"/>
          <w:b/>
          <w:bCs/>
          <w:lang w:val="en-US" w:eastAsia="zh-CN"/>
        </w:rPr>
        <w:t>1.</w:t>
      </w:r>
      <w:r>
        <w:rPr>
          <w:rFonts w:hint="eastAsia" w:ascii="仿宋" w:hAnsi="仿宋" w:eastAsia="仿宋" w:cs="仿宋"/>
          <w:b/>
          <w:bCs/>
        </w:rPr>
        <w:t>保修及售后服务：</w:t>
      </w:r>
      <w:r>
        <w:rPr>
          <w:rFonts w:hint="eastAsia" w:ascii="仿宋" w:hAnsi="仿宋" w:eastAsia="仿宋" w:cs="仿宋"/>
          <w:b/>
          <w:bCs/>
          <w:lang w:eastAsia="zh-CN"/>
        </w:rPr>
        <w:t>验证校准服务完成后，免费质保</w:t>
      </w:r>
      <w:r>
        <w:rPr>
          <w:rFonts w:hint="eastAsia" w:ascii="仿宋" w:hAnsi="仿宋" w:eastAsia="仿宋" w:cs="仿宋"/>
          <w:b/>
          <w:bCs/>
          <w:lang w:val="en-US" w:eastAsia="zh-CN"/>
        </w:rPr>
        <w:t>1年</w:t>
      </w:r>
      <w:r>
        <w:rPr>
          <w:rFonts w:hint="eastAsia" w:ascii="仿宋" w:hAnsi="仿宋" w:eastAsia="仿宋" w:cs="仿宋"/>
        </w:rPr>
        <w:t>。招标文件另有约定的从其约定</w:t>
      </w:r>
      <w:r>
        <w:rPr>
          <w:rFonts w:hint="eastAsia" w:ascii="仿宋" w:hAnsi="仿宋" w:eastAsia="仿宋" w:cs="仿宋"/>
          <w:lang w:eastAsia="zh-CN"/>
        </w:rPr>
        <w:t>，</w:t>
      </w:r>
      <w:r>
        <w:rPr>
          <w:rFonts w:hint="eastAsia" w:ascii="仿宋" w:hAnsi="仿宋" w:eastAsia="仿宋" w:cs="仿宋"/>
        </w:rPr>
        <w:t>质保期从验收合格</w:t>
      </w:r>
      <w:r>
        <w:rPr>
          <w:rFonts w:hint="eastAsia" w:ascii="仿宋" w:hAnsi="仿宋" w:eastAsia="仿宋" w:cs="仿宋"/>
          <w:lang w:eastAsia="zh-CN"/>
        </w:rPr>
        <w:t>之日</w:t>
      </w:r>
      <w:r>
        <w:rPr>
          <w:rFonts w:hint="eastAsia" w:ascii="仿宋" w:hAnsi="仿宋" w:eastAsia="仿宋" w:cs="仿宋"/>
        </w:rPr>
        <w:t>算起。</w:t>
      </w:r>
    </w:p>
    <w:p>
      <w:pPr>
        <w:spacing w:line="400" w:lineRule="exact"/>
        <w:ind w:firstLine="482" w:firstLineChars="200"/>
        <w:rPr>
          <w:rFonts w:hint="default" w:ascii="仿宋" w:hAnsi="仿宋" w:eastAsia="仿宋" w:cs="仿宋"/>
          <w:snapToGrid w:val="0"/>
          <w:lang w:val="en-US" w:eastAsia="zh-CN"/>
        </w:rPr>
      </w:pPr>
      <w:r>
        <w:rPr>
          <w:rFonts w:hint="eastAsia" w:ascii="仿宋" w:hAnsi="仿宋" w:eastAsia="仿宋" w:cs="仿宋"/>
          <w:b/>
          <w:bCs/>
          <w:lang w:val="en-US" w:eastAsia="zh-CN"/>
        </w:rPr>
        <w:t>2.服务要求：</w:t>
      </w:r>
      <w:r>
        <w:rPr>
          <w:rFonts w:hint="eastAsia" w:ascii="仿宋" w:hAnsi="仿宋" w:eastAsia="仿宋" w:cs="仿宋"/>
          <w:snapToGrid w:val="0"/>
          <w:lang w:val="en-US" w:eastAsia="zh-CN"/>
        </w:rPr>
        <w:t>供应商成交以后，成交供应商应根据采购人的要求及时完成服务，否则，采购人有权解除合同，由此造成的全部损失，由成交供应商全部承担。</w:t>
      </w:r>
    </w:p>
    <w:p>
      <w:pPr>
        <w:spacing w:line="400" w:lineRule="exact"/>
        <w:ind w:firstLine="480" w:firstLineChars="200"/>
        <w:rPr>
          <w:rFonts w:hint="eastAsia" w:ascii="仿宋" w:hAnsi="仿宋" w:eastAsia="仿宋" w:cs="仿宋"/>
          <w:snapToGrid w:val="0"/>
          <w:lang w:val="zh-CN"/>
        </w:rPr>
      </w:pPr>
      <w:r>
        <w:rPr>
          <w:rFonts w:hint="eastAsia" w:ascii="仿宋" w:hAnsi="仿宋" w:eastAsia="仿宋" w:cs="仿宋"/>
          <w:snapToGrid w:val="0"/>
          <w:lang w:val="en-US" w:eastAsia="zh-CN"/>
        </w:rPr>
        <w:t>3</w:t>
      </w:r>
      <w:r>
        <w:rPr>
          <w:rFonts w:hint="eastAsia" w:ascii="仿宋" w:hAnsi="仿宋" w:eastAsia="仿宋" w:cs="仿宋"/>
          <w:snapToGrid w:val="0"/>
        </w:rPr>
        <w:t>.</w:t>
      </w:r>
      <w:r>
        <w:rPr>
          <w:rFonts w:hint="eastAsia" w:ascii="仿宋" w:hAnsi="仿宋" w:eastAsia="仿宋" w:cs="仿宋"/>
          <w:snapToGrid w:val="0"/>
          <w:lang w:val="zh-CN"/>
        </w:rPr>
        <w:t>报价方对提供的服务在质保期内，因质量而导致的缺陷，必须免费提供相关服务。</w:t>
      </w:r>
    </w:p>
    <w:p>
      <w:pPr>
        <w:spacing w:line="400" w:lineRule="exact"/>
        <w:ind w:firstLine="482" w:firstLineChars="200"/>
        <w:rPr>
          <w:rFonts w:hint="eastAsia" w:ascii="仿宋" w:hAnsi="仿宋" w:eastAsia="仿宋" w:cs="仿宋"/>
        </w:rPr>
      </w:pPr>
      <w:r>
        <w:rPr>
          <w:rFonts w:hint="eastAsia" w:ascii="仿宋" w:hAnsi="仿宋" w:eastAsia="仿宋" w:cs="仿宋"/>
          <w:b/>
          <w:bCs/>
          <w:snapToGrid w:val="0"/>
          <w:lang w:val="en-US" w:eastAsia="zh-CN"/>
        </w:rPr>
        <w:t>4.付款及结算方式：</w:t>
      </w:r>
      <w:r>
        <w:rPr>
          <w:rFonts w:hint="eastAsia" w:ascii="仿宋" w:hAnsi="仿宋" w:eastAsia="仿宋" w:cs="仿宋"/>
        </w:rPr>
        <w:t>验收合格后</w:t>
      </w:r>
      <w:r>
        <w:rPr>
          <w:rFonts w:hint="eastAsia" w:ascii="仿宋" w:hAnsi="仿宋" w:eastAsia="仿宋" w:cs="仿宋"/>
          <w:snapToGrid w:val="0"/>
          <w:lang w:val="zh-CN"/>
        </w:rPr>
        <w:t>，成交供应商按采购人要求凭国家正式发票及相关证明文件向采购人申请付款，采购人收到申请后在</w:t>
      </w:r>
      <w:r>
        <w:rPr>
          <w:rFonts w:hint="eastAsia" w:ascii="仿宋" w:hAnsi="仿宋" w:eastAsia="仿宋" w:cs="仿宋"/>
          <w:snapToGrid w:val="0"/>
          <w:lang w:val="en-US" w:eastAsia="zh-CN"/>
        </w:rPr>
        <w:t>15</w:t>
      </w:r>
      <w:r>
        <w:rPr>
          <w:rFonts w:hint="eastAsia" w:ascii="仿宋" w:hAnsi="仿宋" w:eastAsia="仿宋" w:cs="仿宋"/>
          <w:snapToGrid w:val="0"/>
          <w:lang w:val="zh-CN"/>
        </w:rPr>
        <w:t>个工作日内结清</w:t>
      </w:r>
      <w:r>
        <w:rPr>
          <w:rFonts w:hint="eastAsia" w:ascii="仿宋" w:hAnsi="仿宋" w:eastAsia="仿宋" w:cs="仿宋"/>
          <w:snapToGrid w:val="0"/>
          <w:lang w:val="zh-CN" w:eastAsia="zh-CN"/>
        </w:rPr>
        <w:t>全部</w:t>
      </w:r>
      <w:r>
        <w:rPr>
          <w:rFonts w:hint="eastAsia" w:ascii="仿宋" w:hAnsi="仿宋" w:eastAsia="仿宋" w:cs="仿宋"/>
          <w:snapToGrid w:val="0"/>
          <w:lang w:val="zh-CN"/>
        </w:rPr>
        <w:t>款项。</w:t>
      </w:r>
    </w:p>
    <w:p>
      <w:pPr>
        <w:spacing w:line="400" w:lineRule="exact"/>
        <w:ind w:firstLine="482" w:firstLineChars="200"/>
        <w:rPr>
          <w:rFonts w:hint="eastAsia" w:ascii="仿宋" w:hAnsi="仿宋" w:eastAsia="仿宋" w:cs="仿宋"/>
          <w:b/>
          <w:bCs/>
        </w:rPr>
      </w:pPr>
      <w:r>
        <w:rPr>
          <w:rFonts w:hint="eastAsia" w:ascii="仿宋" w:hAnsi="仿宋" w:eastAsia="仿宋" w:cs="仿宋"/>
          <w:b/>
          <w:bCs/>
        </w:rPr>
        <w:t>（</w:t>
      </w:r>
      <w:r>
        <w:rPr>
          <w:rFonts w:hint="eastAsia" w:ascii="仿宋" w:hAnsi="仿宋" w:eastAsia="仿宋" w:cs="仿宋"/>
          <w:b/>
          <w:bCs/>
          <w:lang w:eastAsia="zh-CN"/>
        </w:rPr>
        <w:t>五</w:t>
      </w:r>
      <w:r>
        <w:rPr>
          <w:rFonts w:hint="eastAsia" w:ascii="仿宋" w:hAnsi="仿宋" w:eastAsia="仿宋" w:cs="仿宋"/>
          <w:b/>
          <w:bCs/>
        </w:rPr>
        <w:t>）验收方法及标准</w:t>
      </w:r>
    </w:p>
    <w:p>
      <w:pPr>
        <w:spacing w:line="400" w:lineRule="exact"/>
        <w:ind w:firstLine="480" w:firstLineChars="200"/>
        <w:rPr>
          <w:rFonts w:hint="eastAsia" w:ascii="仿宋" w:hAnsi="仿宋" w:eastAsia="仿宋" w:cs="仿宋"/>
        </w:rPr>
      </w:pPr>
      <w:r>
        <w:rPr>
          <w:rFonts w:hint="eastAsia" w:ascii="仿宋" w:hAnsi="仿宋" w:eastAsia="仿宋" w:cs="仿宋"/>
        </w:rPr>
        <w:t>按照签订的采购合同</w:t>
      </w:r>
      <w:r>
        <w:rPr>
          <w:rFonts w:hint="eastAsia" w:ascii="仿宋" w:hAnsi="仿宋" w:eastAsia="仿宋" w:cs="仿宋"/>
          <w:lang w:eastAsia="zh-CN"/>
        </w:rPr>
        <w:t>、</w:t>
      </w:r>
      <w:r>
        <w:rPr>
          <w:rFonts w:hint="eastAsia" w:ascii="仿宋" w:hAnsi="仿宋" w:eastAsia="仿宋" w:cs="仿宋"/>
        </w:rPr>
        <w:t>技术要求及标准对每一环节、标准的履约情况进行验收。验收结束后，应当出具验收书，由双方共同签署。</w:t>
      </w:r>
    </w:p>
    <w:p/>
    <w:sectPr>
      <w:pgSz w:w="11906" w:h="16838"/>
      <w:pgMar w:top="1417"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DA07B2"/>
    <w:multiLevelType w:val="singleLevel"/>
    <w:tmpl w:val="28DA07B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YWY5MzIxMjU4MjUwZWE0MTI1N2RmNTQ4Y2EzMDUifQ=="/>
  </w:docVars>
  <w:rsids>
    <w:rsidRoot w:val="708F168C"/>
    <w:rsid w:val="1BBF5043"/>
    <w:rsid w:val="6E941B47"/>
    <w:rsid w:val="708F1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模板普通正文"/>
    <w:basedOn w:val="3"/>
    <w:qFormat/>
    <w:uiPriority w:val="0"/>
    <w:pPr>
      <w:spacing w:beforeLines="50" w:after="10"/>
      <w:ind w:firstLine="490" w:firstLineChars="175"/>
      <w:jc w:val="left"/>
    </w:pPr>
  </w:style>
  <w:style w:type="paragraph" w:styleId="3">
    <w:name w:val="Body Text Indent"/>
    <w:basedOn w:val="1"/>
    <w:next w:val="4"/>
    <w:qFormat/>
    <w:uiPriority w:val="0"/>
    <w:pPr>
      <w:ind w:firstLine="555"/>
    </w:pPr>
  </w:style>
  <w:style w:type="paragraph" w:styleId="4">
    <w:name w:val="envelope return"/>
    <w:basedOn w:val="1"/>
    <w:qFormat/>
    <w:uiPriority w:val="0"/>
    <w:pPr>
      <w:snapToGrid w:val="0"/>
    </w:pPr>
    <w:rPr>
      <w:rFonts w:ascii="Arial" w:hAnsi="Arial"/>
    </w:rPr>
  </w:style>
  <w:style w:type="paragraph" w:styleId="5">
    <w:name w:val="Body Text"/>
    <w:basedOn w:val="1"/>
    <w:next w:val="6"/>
    <w:qFormat/>
    <w:uiPriority w:val="0"/>
    <w:rPr>
      <w:sz w:val="21"/>
    </w:rPr>
  </w:style>
  <w:style w:type="paragraph" w:styleId="6">
    <w:name w:val="Date"/>
    <w:basedOn w:val="1"/>
    <w:next w:val="1"/>
    <w:qFormat/>
    <w:uiPriority w:val="0"/>
    <w:rPr>
      <w:b/>
      <w:sz w:val="28"/>
    </w:rPr>
  </w:style>
  <w:style w:type="paragraph" w:styleId="7">
    <w:name w:val="toc 6"/>
    <w:basedOn w:val="1"/>
    <w:next w:val="1"/>
    <w:qFormat/>
    <w:uiPriority w:val="0"/>
    <w:pPr>
      <w:ind w:left="1050"/>
      <w:jc w:val="left"/>
    </w:pPr>
    <w:rPr>
      <w:rFonts w:ascii="Calibri" w:hAnsi="Calibri" w:eastAsia="宋体" w:cs="Times New Roman"/>
      <w:sz w:val="18"/>
      <w:szCs w:val="18"/>
    </w:rPr>
  </w:style>
  <w:style w:type="paragraph" w:styleId="8">
    <w:name w:val="Body Text First Indent"/>
    <w:basedOn w:val="5"/>
    <w:next w:val="7"/>
    <w:qFormat/>
    <w:uiPriority w:val="0"/>
    <w:pPr>
      <w:spacing w:line="360" w:lineRule="auto"/>
      <w:ind w:firstLine="241" w:firstLineChars="100"/>
      <w:jc w:val="center"/>
    </w:pPr>
    <w:rPr>
      <w:b/>
      <w:bCs/>
      <w:color w:val="000000"/>
      <w:kern w:val="0"/>
    </w:rPr>
  </w:style>
  <w:style w:type="paragraph" w:styleId="9">
    <w:name w:val="Body Text First Indent 2"/>
    <w:basedOn w:val="3"/>
    <w:next w:val="8"/>
    <w:unhideWhenUsed/>
    <w:qFormat/>
    <w:uiPriority w:val="99"/>
    <w:pPr>
      <w:widowControl w:val="0"/>
      <w:ind w:left="420" w:firstLine="420" w:firstLineChars="200"/>
      <w:jc w:val="both"/>
    </w:pPr>
    <w:rPr>
      <w:rFonts w:ascii="Times New Roman" w:hAnsi="@仿宋_GB2312" w:eastAsia="楷体_GB2312" w:cs="Times New Roman"/>
      <w:kern w:val="2"/>
      <w:sz w:val="32"/>
      <w:szCs w:val="20"/>
      <w:lang w:val="en-US" w:eastAsia="zh-CN" w:bidi="ar-SA"/>
    </w:rPr>
  </w:style>
  <w:style w:type="character" w:customStyle="1" w:styleId="12">
    <w:name w:val="NormalCharacter"/>
    <w:semiHidden/>
    <w:qFormat/>
    <w:uiPriority w:val="0"/>
    <w:rPr>
      <w:sz w:val="24"/>
      <w:szCs w:val="24"/>
      <w:lang w:val="en-US" w:eastAsia="zh-CN" w:bidi="ar-SA"/>
    </w:rPr>
  </w:style>
  <w:style w:type="paragraph" w:customStyle="1" w:styleId="13">
    <w:name w:val="Normal Indent"/>
    <w:basedOn w:val="1"/>
    <w:qFormat/>
    <w:uiPriority w:val="0"/>
    <w:pPr>
      <w:widowControl/>
      <w:ind w:firstLine="420"/>
      <w:jc w:val="left"/>
    </w:pPr>
    <w:rPr>
      <w:rFonts w:ascii="Times New Roman" w:hAnsi="Times New Roman"/>
      <w:kern w:val="0"/>
      <w:szCs w:val="20"/>
    </w:rPr>
  </w:style>
  <w:style w:type="paragraph" w:customStyle="1" w:styleId="14">
    <w:name w:val="List Paragraph"/>
    <w:basedOn w:val="1"/>
    <w:qFormat/>
    <w:uiPriority w:val="0"/>
    <w:pPr>
      <w:widowControl/>
      <w:ind w:left="720" w:firstLine="360"/>
      <w:jc w:val="left"/>
    </w:pPr>
    <w:rPr>
      <w:rFonts w:ascii="Calibri" w:hAnsi="Calibri"/>
      <w:sz w:val="22"/>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1177</Words>
  <Characters>1207</Characters>
  <Lines>0</Lines>
  <Paragraphs>0</Paragraphs>
  <TotalTime>5</TotalTime>
  <ScaleCrop>false</ScaleCrop>
  <LinksUpToDate>false</LinksUpToDate>
  <CharactersWithSpaces>1208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2022-12-07T07:52:00Z</dcterms:created>
  <dc:creator>Administrator</dc:creator>
  <cp:lastModifiedBy>Administrator</cp:lastModifiedBy>
  <dcterms:modified xsi:type="dcterms:W3CDTF">2023-03-14T07:21:39Z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4162F7F3804D43A78E90F4FE43425DAB</vt:lpwstr>
  </property>
</Properties>
</file>