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jc w:val="center"/>
        <w:rPr>
          <w:rFonts w:hint="eastAsia"/>
          <w:color w:val="000000"/>
          <w:sz w:val="30"/>
          <w:szCs w:val="30"/>
        </w:rPr>
      </w:pPr>
      <w:r>
        <w:rPr>
          <w:rFonts w:hint="eastAsia"/>
          <w:color w:val="000000"/>
          <w:sz w:val="30"/>
          <w:szCs w:val="30"/>
        </w:rPr>
        <w:t>服务需求及技术要求</w:t>
      </w:r>
    </w:p>
    <w:p>
      <w:pPr>
        <w:pStyle w:val="5"/>
        <w:rPr>
          <w:rFonts w:hint="eastAsia" w:ascii="仿宋_GB2312" w:eastAsia="仿宋_GB2312"/>
          <w:sz w:val="30"/>
          <w:szCs w:val="30"/>
          <w:lang w:eastAsia="zh-CN"/>
        </w:rPr>
      </w:pPr>
      <w:r>
        <w:rPr>
          <w:rFonts w:hint="eastAsia" w:ascii="仿宋_GB2312" w:eastAsia="仿宋_GB2312"/>
          <w:sz w:val="30"/>
          <w:szCs w:val="30"/>
          <w:lang w:eastAsia="zh-CN"/>
        </w:rPr>
        <w:t>一、技术要求</w:t>
      </w:r>
    </w:p>
    <w:tbl>
      <w:tblPr>
        <w:tblStyle w:val="6"/>
        <w:tblW w:w="9444" w:type="dxa"/>
        <w:jc w:val="center"/>
        <w:tblLayout w:type="fixed"/>
        <w:tblCellMar>
          <w:top w:w="0" w:type="dxa"/>
          <w:left w:w="108" w:type="dxa"/>
          <w:bottom w:w="0" w:type="dxa"/>
          <w:right w:w="108" w:type="dxa"/>
        </w:tblCellMar>
      </w:tblPr>
      <w:tblGrid>
        <w:gridCol w:w="708"/>
        <w:gridCol w:w="2312"/>
        <w:gridCol w:w="2496"/>
        <w:gridCol w:w="1019"/>
        <w:gridCol w:w="1769"/>
        <w:gridCol w:w="1140"/>
      </w:tblGrid>
      <w:tr>
        <w:tblPrEx>
          <w:tblCellMar>
            <w:top w:w="0" w:type="dxa"/>
            <w:left w:w="108" w:type="dxa"/>
            <w:bottom w:w="0" w:type="dxa"/>
            <w:right w:w="108" w:type="dxa"/>
          </w:tblCellMar>
        </w:tblPrEx>
        <w:trPr>
          <w:cantSplit/>
          <w:trHeight w:val="531" w:hRule="atLeast"/>
          <w:jc w:val="center"/>
        </w:trPr>
        <w:tc>
          <w:tcPr>
            <w:tcW w:w="708" w:type="dxa"/>
            <w:tcBorders>
              <w:top w:val="single" w:color="auto" w:sz="4" w:space="0"/>
              <w:left w:val="single" w:color="auto" w:sz="8" w:space="0"/>
              <w:bottom w:val="single" w:color="auto" w:sz="4" w:space="0"/>
              <w:right w:val="single" w:color="auto" w:sz="4" w:space="0"/>
            </w:tcBorders>
            <w:noWrap w:val="0"/>
            <w:vAlign w:val="center"/>
          </w:tcPr>
          <w:p>
            <w:pPr>
              <w:widowControl/>
              <w:spacing w:line="273" w:lineRule="auto"/>
              <w:jc w:val="center"/>
              <w:rPr>
                <w:rFonts w:hint="eastAsia" w:ascii="仿宋" w:hAnsi="仿宋" w:eastAsia="仿宋" w:cs="仿宋"/>
                <w:bCs/>
                <w:sz w:val="22"/>
                <w:szCs w:val="21"/>
              </w:rPr>
            </w:pPr>
            <w:r>
              <w:rPr>
                <w:rFonts w:hint="eastAsia" w:ascii="仿宋" w:hAnsi="仿宋" w:eastAsia="仿宋" w:cs="仿宋"/>
                <w:bCs/>
                <w:sz w:val="22"/>
              </w:rPr>
              <w:t>序号</w:t>
            </w:r>
          </w:p>
        </w:tc>
        <w:tc>
          <w:tcPr>
            <w:tcW w:w="2312" w:type="dxa"/>
            <w:tcBorders>
              <w:top w:val="single" w:color="auto" w:sz="4" w:space="0"/>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bCs/>
                <w:sz w:val="22"/>
                <w:szCs w:val="21"/>
              </w:rPr>
            </w:pPr>
            <w:r>
              <w:rPr>
                <w:rFonts w:hint="eastAsia" w:ascii="仿宋" w:hAnsi="仿宋" w:eastAsia="仿宋" w:cs="仿宋"/>
                <w:bCs/>
                <w:sz w:val="22"/>
              </w:rPr>
              <w:t>名称</w:t>
            </w:r>
          </w:p>
        </w:tc>
        <w:tc>
          <w:tcPr>
            <w:tcW w:w="2496" w:type="dxa"/>
            <w:tcBorders>
              <w:top w:val="single" w:color="auto" w:sz="4" w:space="0"/>
              <w:left w:val="nil"/>
              <w:bottom w:val="single" w:color="000000" w:sz="4" w:space="0"/>
              <w:right w:val="single" w:color="auto" w:sz="4" w:space="0"/>
            </w:tcBorders>
            <w:noWrap w:val="0"/>
            <w:vAlign w:val="center"/>
          </w:tcPr>
          <w:p>
            <w:pPr>
              <w:widowControl/>
              <w:spacing w:line="273" w:lineRule="auto"/>
              <w:jc w:val="center"/>
              <w:rPr>
                <w:rFonts w:hint="eastAsia" w:ascii="仿宋" w:hAnsi="仿宋" w:eastAsia="仿宋" w:cs="仿宋"/>
                <w:bCs/>
                <w:sz w:val="22"/>
                <w:szCs w:val="21"/>
              </w:rPr>
            </w:pPr>
            <w:r>
              <w:rPr>
                <w:rFonts w:hint="eastAsia" w:ascii="仿宋" w:hAnsi="仿宋" w:eastAsia="仿宋" w:cs="仿宋"/>
                <w:bCs/>
                <w:sz w:val="22"/>
              </w:rPr>
              <w:t>规格型号</w:t>
            </w:r>
          </w:p>
        </w:tc>
        <w:tc>
          <w:tcPr>
            <w:tcW w:w="1019" w:type="dxa"/>
            <w:tcBorders>
              <w:top w:val="single" w:color="auto" w:sz="4" w:space="0"/>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bCs/>
                <w:sz w:val="22"/>
                <w:szCs w:val="21"/>
              </w:rPr>
            </w:pPr>
            <w:r>
              <w:rPr>
                <w:rFonts w:hint="eastAsia" w:ascii="仿宋" w:hAnsi="仿宋" w:eastAsia="仿宋" w:cs="仿宋"/>
                <w:bCs/>
                <w:sz w:val="22"/>
              </w:rPr>
              <w:t>数量</w:t>
            </w:r>
          </w:p>
        </w:tc>
        <w:tc>
          <w:tcPr>
            <w:tcW w:w="1769" w:type="dxa"/>
            <w:tcBorders>
              <w:top w:val="single" w:color="auto" w:sz="4" w:space="0"/>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bCs/>
                <w:sz w:val="22"/>
                <w:szCs w:val="21"/>
              </w:rPr>
            </w:pPr>
            <w:r>
              <w:rPr>
                <w:rFonts w:hint="eastAsia" w:ascii="宋体" w:hAnsi="宋体" w:eastAsia="宋体" w:cs="宋体"/>
                <w:b/>
                <w:bCs/>
                <w:i w:val="0"/>
                <w:iCs w:val="0"/>
                <w:color w:val="000000"/>
                <w:kern w:val="0"/>
                <w:sz w:val="22"/>
                <w:szCs w:val="22"/>
                <w:u w:val="none"/>
                <w:lang w:val="en-US" w:eastAsia="zh-CN" w:bidi="ar"/>
              </w:rPr>
              <w:t>材质</w:t>
            </w:r>
          </w:p>
        </w:tc>
        <w:tc>
          <w:tcPr>
            <w:tcW w:w="1140" w:type="dxa"/>
            <w:tcBorders>
              <w:top w:val="single" w:color="auto" w:sz="4" w:space="0"/>
              <w:left w:val="nil"/>
              <w:bottom w:val="single" w:color="000000" w:sz="4" w:space="0"/>
              <w:right w:val="single" w:color="auto" w:sz="8" w:space="0"/>
            </w:tcBorders>
            <w:noWrap w:val="0"/>
            <w:vAlign w:val="center"/>
          </w:tcPr>
          <w:p>
            <w:pPr>
              <w:widowControl/>
              <w:spacing w:line="273" w:lineRule="auto"/>
              <w:jc w:val="center"/>
              <w:rPr>
                <w:rFonts w:hint="eastAsia" w:ascii="仿宋" w:hAnsi="仿宋" w:eastAsia="仿宋" w:cs="仿宋"/>
                <w:bCs/>
                <w:sz w:val="22"/>
                <w:szCs w:val="21"/>
                <w:lang w:val="en-US" w:eastAsia="zh-CN"/>
              </w:rPr>
            </w:pPr>
            <w:r>
              <w:rPr>
                <w:rFonts w:hint="eastAsia" w:ascii="仿宋" w:hAnsi="仿宋" w:eastAsia="仿宋" w:cs="仿宋"/>
                <w:bCs/>
                <w:sz w:val="22"/>
                <w:szCs w:val="21"/>
                <w:lang w:val="en-US" w:eastAsia="zh-CN"/>
              </w:rPr>
              <w:t>备注</w:t>
            </w: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2"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1</w:t>
            </w:r>
          </w:p>
        </w:tc>
        <w:tc>
          <w:tcPr>
            <w:tcW w:w="2312" w:type="dxa"/>
            <w:tcBorders>
              <w:top w:val="nil"/>
              <w:left w:val="nil"/>
              <w:bottom w:val="single" w:color="auto" w:sz="2"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rPr>
            </w:pPr>
            <w:r>
              <w:rPr>
                <w:rFonts w:hint="eastAsia" w:ascii="仿宋" w:hAnsi="仿宋" w:eastAsia="仿宋" w:cs="仿宋"/>
                <w:color w:val="000000"/>
              </w:rPr>
              <w:t>太湖县结核病防治专科门诊（大字）</w:t>
            </w:r>
          </w:p>
        </w:tc>
        <w:tc>
          <w:tcPr>
            <w:tcW w:w="2496" w:type="dxa"/>
            <w:tcBorders>
              <w:top w:val="nil"/>
              <w:left w:val="nil"/>
              <w:bottom w:val="single" w:color="auto" w:sz="2"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auto"/>
                <w:szCs w:val="21"/>
                <w:lang w:eastAsia="zh-CN"/>
              </w:rPr>
            </w:pPr>
            <w:r>
              <w:rPr>
                <w:rFonts w:hint="eastAsia" w:ascii="仿宋" w:hAnsi="仿宋" w:eastAsia="仿宋" w:cs="仿宋"/>
                <w:color w:val="auto"/>
              </w:rPr>
              <w:t>50cm*12个</w:t>
            </w:r>
          </w:p>
        </w:tc>
        <w:tc>
          <w:tcPr>
            <w:tcW w:w="1019" w:type="dxa"/>
            <w:tcBorders>
              <w:top w:val="nil"/>
              <w:left w:val="nil"/>
              <w:bottom w:val="single" w:color="auto" w:sz="2"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auto"/>
                <w:szCs w:val="21"/>
                <w:lang w:eastAsia="zh-CN"/>
              </w:rPr>
            </w:pPr>
            <w:r>
              <w:rPr>
                <w:rFonts w:hint="eastAsia" w:ascii="仿宋" w:hAnsi="仿宋" w:eastAsia="仿宋" w:cs="仿宋"/>
                <w:color w:val="auto"/>
              </w:rPr>
              <w:t>12</w:t>
            </w:r>
            <w:r>
              <w:rPr>
                <w:rFonts w:hint="eastAsia" w:ascii="仿宋" w:hAnsi="仿宋" w:eastAsia="仿宋" w:cs="仿宋"/>
                <w:color w:val="auto"/>
                <w:lang w:eastAsia="zh-CN"/>
              </w:rPr>
              <w:t>个字</w:t>
            </w:r>
          </w:p>
        </w:tc>
        <w:tc>
          <w:tcPr>
            <w:tcW w:w="1769" w:type="dxa"/>
            <w:tcBorders>
              <w:top w:val="nil"/>
              <w:left w:val="nil"/>
              <w:bottom w:val="single" w:color="auto" w:sz="2" w:space="0"/>
              <w:right w:val="single" w:color="auto" w:sz="4" w:space="0"/>
            </w:tcBorders>
            <w:noWrap/>
            <w:vAlign w:val="center"/>
          </w:tcPr>
          <w:p>
            <w:pPr>
              <w:widowControl/>
              <w:spacing w:line="273" w:lineRule="auto"/>
              <w:jc w:val="center"/>
              <w:rPr>
                <w:rFonts w:hint="eastAsia" w:ascii="仿宋" w:hAnsi="仿宋" w:eastAsia="仿宋" w:cs="仿宋"/>
                <w:color w:val="auto"/>
                <w:szCs w:val="21"/>
                <w:lang w:val="en-US" w:eastAsia="zh-CN"/>
              </w:rPr>
            </w:pPr>
            <w:r>
              <w:rPr>
                <w:rFonts w:hint="eastAsia" w:ascii="仿宋" w:hAnsi="仿宋" w:eastAsia="仿宋" w:cs="仿宋"/>
                <w:i w:val="0"/>
                <w:iCs w:val="0"/>
                <w:color w:val="000000"/>
                <w:kern w:val="0"/>
                <w:sz w:val="20"/>
                <w:szCs w:val="20"/>
                <w:u w:val="none"/>
                <w:lang w:val="en-US" w:eastAsia="zh-CN" w:bidi="ar"/>
              </w:rPr>
              <w:t>烤漆</w:t>
            </w:r>
          </w:p>
        </w:tc>
        <w:tc>
          <w:tcPr>
            <w:tcW w:w="1140" w:type="dxa"/>
            <w:vMerge w:val="restart"/>
            <w:tcBorders>
              <w:top w:val="nil"/>
              <w:left w:val="nil"/>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3" w:hRule="atLeast"/>
          <w:jc w:val="center"/>
        </w:trPr>
        <w:tc>
          <w:tcPr>
            <w:tcW w:w="708" w:type="dxa"/>
            <w:tcBorders>
              <w:top w:val="single" w:color="auto" w:sz="2" w:space="0"/>
              <w:left w:val="single" w:color="auto" w:sz="8" w:space="0"/>
              <w:bottom w:val="single" w:color="auto" w:sz="4" w:space="0"/>
              <w:right w:val="single" w:color="auto" w:sz="4" w:space="0"/>
            </w:tcBorders>
            <w:noWrap/>
            <w:vAlign w:val="center"/>
          </w:tcPr>
          <w:p>
            <w:pPr>
              <w:spacing w:line="273" w:lineRule="auto"/>
              <w:jc w:val="center"/>
              <w:rPr>
                <w:rFonts w:hint="eastAsia" w:ascii="仿宋" w:hAnsi="仿宋" w:eastAsia="仿宋" w:cs="仿宋"/>
                <w:szCs w:val="21"/>
              </w:rPr>
            </w:pPr>
            <w:r>
              <w:rPr>
                <w:rFonts w:hint="eastAsia" w:ascii="仿宋" w:hAnsi="仿宋" w:eastAsia="仿宋" w:cs="仿宋"/>
              </w:rPr>
              <w:t>2</w:t>
            </w:r>
          </w:p>
        </w:tc>
        <w:tc>
          <w:tcPr>
            <w:tcW w:w="2312" w:type="dxa"/>
            <w:tcBorders>
              <w:top w:val="single" w:color="auto" w:sz="2" w:space="0"/>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rPr>
            </w:pPr>
            <w:r>
              <w:rPr>
                <w:rFonts w:hint="eastAsia" w:ascii="仿宋" w:hAnsi="仿宋" w:eastAsia="仿宋" w:cs="仿宋"/>
                <w:color w:val="000000"/>
              </w:rPr>
              <w:t>太湖县结核病防治专科门诊（拼音）</w:t>
            </w:r>
          </w:p>
        </w:tc>
        <w:tc>
          <w:tcPr>
            <w:tcW w:w="2496" w:type="dxa"/>
            <w:tcBorders>
              <w:top w:val="single" w:color="auto" w:sz="2" w:space="0"/>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auto"/>
                <w:szCs w:val="21"/>
              </w:rPr>
            </w:pPr>
            <w:r>
              <w:rPr>
                <w:rFonts w:hint="eastAsia" w:ascii="仿宋" w:hAnsi="仿宋" w:eastAsia="仿宋" w:cs="仿宋"/>
                <w:color w:val="auto"/>
              </w:rPr>
              <w:t>15cm*37个</w:t>
            </w:r>
          </w:p>
        </w:tc>
        <w:tc>
          <w:tcPr>
            <w:tcW w:w="1019" w:type="dxa"/>
            <w:tcBorders>
              <w:top w:val="single" w:color="auto" w:sz="2" w:space="0"/>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auto"/>
                <w:szCs w:val="21"/>
                <w:lang w:val="en-US" w:eastAsia="zh-CN"/>
              </w:rPr>
            </w:pPr>
            <w:r>
              <w:rPr>
                <w:rFonts w:hint="eastAsia" w:ascii="仿宋" w:hAnsi="仿宋" w:eastAsia="仿宋" w:cs="仿宋"/>
                <w:color w:val="auto"/>
                <w:lang w:val="en-US" w:eastAsia="zh-CN"/>
              </w:rPr>
              <w:t>37</w:t>
            </w:r>
            <w:r>
              <w:rPr>
                <w:rFonts w:hint="eastAsia" w:ascii="仿宋" w:hAnsi="仿宋" w:eastAsia="仿宋" w:cs="仿宋"/>
                <w:color w:val="auto"/>
                <w:lang w:eastAsia="zh-CN"/>
              </w:rPr>
              <w:t>个</w:t>
            </w:r>
          </w:p>
        </w:tc>
        <w:tc>
          <w:tcPr>
            <w:tcW w:w="1769" w:type="dxa"/>
            <w:tcBorders>
              <w:top w:val="single" w:color="auto" w:sz="2" w:space="0"/>
              <w:left w:val="nil"/>
              <w:bottom w:val="single" w:color="auto" w:sz="4" w:space="0"/>
              <w:right w:val="single" w:color="auto" w:sz="4" w:space="0"/>
            </w:tcBorders>
            <w:noWrap/>
            <w:vAlign w:val="center"/>
          </w:tcPr>
          <w:p>
            <w:pPr>
              <w:spacing w:line="273" w:lineRule="auto"/>
              <w:jc w:val="center"/>
              <w:rPr>
                <w:rFonts w:hint="eastAsia" w:ascii="仿宋" w:hAnsi="仿宋" w:eastAsia="仿宋" w:cs="仿宋"/>
                <w:color w:val="auto"/>
                <w:szCs w:val="21"/>
                <w:lang w:val="en-US" w:eastAsia="zh-CN"/>
              </w:rPr>
            </w:pPr>
            <w:r>
              <w:rPr>
                <w:rFonts w:hint="eastAsia" w:ascii="仿宋" w:hAnsi="仿宋" w:eastAsia="仿宋" w:cs="仿宋"/>
                <w:i w:val="0"/>
                <w:iCs w:val="0"/>
                <w:color w:val="000000"/>
                <w:kern w:val="0"/>
                <w:sz w:val="20"/>
                <w:szCs w:val="20"/>
                <w:u w:val="none"/>
                <w:lang w:val="en-US" w:eastAsia="zh-CN" w:bidi="ar"/>
              </w:rPr>
              <w:t>PVC</w:t>
            </w:r>
          </w:p>
        </w:tc>
        <w:tc>
          <w:tcPr>
            <w:tcW w:w="1140" w:type="dxa"/>
            <w:vMerge w:val="continue"/>
            <w:tcBorders>
              <w:left w:val="nil"/>
              <w:right w:val="single" w:color="auto" w:sz="8" w:space="0"/>
            </w:tcBorders>
            <w:noWrap/>
            <w:vAlign w:val="center"/>
          </w:tcPr>
          <w:p>
            <w:pPr>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3</w:t>
            </w:r>
          </w:p>
        </w:tc>
        <w:tc>
          <w:tcPr>
            <w:tcW w:w="2312"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门头标志</w:t>
            </w:r>
          </w:p>
        </w:tc>
        <w:tc>
          <w:tcPr>
            <w:tcW w:w="2496" w:type="dxa"/>
            <w:tcBorders>
              <w:top w:val="nil"/>
              <w:left w:val="nil"/>
              <w:bottom w:val="single" w:color="auto" w:sz="4" w:space="0"/>
              <w:right w:val="single" w:color="auto" w:sz="4" w:space="0"/>
            </w:tcBorders>
            <w:noWrap/>
            <w:vAlign w:val="center"/>
          </w:tcPr>
          <w:p>
            <w:pPr>
              <w:spacing w:line="273" w:lineRule="auto"/>
              <w:jc w:val="center"/>
              <w:rPr>
                <w:rFonts w:hint="eastAsia" w:ascii="仿宋" w:hAnsi="仿宋" w:eastAsia="仿宋" w:cs="仿宋"/>
                <w:color w:val="auto"/>
                <w:szCs w:val="21"/>
              </w:rPr>
            </w:pP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auto"/>
                <w:szCs w:val="21"/>
              </w:rPr>
            </w:pPr>
            <w:r>
              <w:rPr>
                <w:rFonts w:hint="eastAsia" w:ascii="仿宋" w:hAnsi="仿宋" w:eastAsia="仿宋" w:cs="仿宋"/>
                <w:color w:val="auto"/>
              </w:rPr>
              <w:t>0.8</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color w:val="auto"/>
                <w:szCs w:val="21"/>
                <w:lang w:val="en-US" w:eastAsia="zh-CN"/>
              </w:rPr>
            </w:pPr>
            <w:r>
              <w:rPr>
                <w:rFonts w:hint="eastAsia" w:ascii="仿宋" w:hAnsi="仿宋" w:eastAsia="仿宋" w:cs="仿宋"/>
                <w:i w:val="0"/>
                <w:iCs w:val="0"/>
                <w:color w:val="000000"/>
                <w:kern w:val="0"/>
                <w:sz w:val="20"/>
                <w:szCs w:val="20"/>
                <w:u w:val="none"/>
                <w:lang w:val="en-US" w:eastAsia="zh-CN" w:bidi="ar"/>
              </w:rPr>
              <w:t>uv+亚克力</w:t>
            </w:r>
          </w:p>
        </w:tc>
        <w:tc>
          <w:tcPr>
            <w:tcW w:w="1140" w:type="dxa"/>
            <w:vMerge w:val="continue"/>
            <w:tcBorders>
              <w:left w:val="nil"/>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4</w:t>
            </w:r>
          </w:p>
        </w:tc>
        <w:tc>
          <w:tcPr>
            <w:tcW w:w="2312"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门头底板</w:t>
            </w:r>
          </w:p>
        </w:tc>
        <w:tc>
          <w:tcPr>
            <w:tcW w:w="2496" w:type="dxa"/>
            <w:tcBorders>
              <w:top w:val="nil"/>
              <w:left w:val="nil"/>
              <w:bottom w:val="single" w:color="auto" w:sz="4" w:space="0"/>
              <w:right w:val="single" w:color="auto" w:sz="4" w:space="0"/>
            </w:tcBorders>
            <w:noWrap/>
            <w:vAlign w:val="center"/>
          </w:tcPr>
          <w:p>
            <w:pPr>
              <w:spacing w:line="273" w:lineRule="auto"/>
              <w:jc w:val="center"/>
              <w:rPr>
                <w:rFonts w:hint="eastAsia" w:ascii="仿宋" w:hAnsi="仿宋" w:eastAsia="仿宋" w:cs="仿宋"/>
                <w:color w:val="000000"/>
                <w:szCs w:val="21"/>
              </w:rPr>
            </w:pP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25</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0"/>
                <w:szCs w:val="20"/>
                <w:u w:val="none"/>
                <w:lang w:val="en-US" w:eastAsia="zh-CN" w:bidi="ar"/>
              </w:rPr>
              <w:t>铝塑板+木工板</w:t>
            </w:r>
          </w:p>
        </w:tc>
        <w:tc>
          <w:tcPr>
            <w:tcW w:w="1140" w:type="dxa"/>
            <w:vMerge w:val="continue"/>
            <w:tcBorders>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5</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rPr>
            </w:pPr>
            <w:r>
              <w:rPr>
                <w:rFonts w:hint="eastAsia" w:ascii="仿宋" w:hAnsi="仿宋" w:eastAsia="仿宋" w:cs="仿宋"/>
                <w:color w:val="000000"/>
              </w:rPr>
              <w:t>路标导视</w:t>
            </w:r>
          </w:p>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（包括带灯字双面）</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800mm*2500mm</w:t>
            </w: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1</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0"/>
                <w:szCs w:val="20"/>
                <w:u w:val="none"/>
                <w:lang w:val="en-US" w:eastAsia="zh-CN" w:bidi="ar"/>
              </w:rPr>
              <w:t>烤漆</w:t>
            </w: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rPr>
            </w:pPr>
            <w:r>
              <w:rPr>
                <w:rFonts w:hint="eastAsia" w:ascii="仿宋" w:hAnsi="仿宋" w:eastAsia="仿宋" w:cs="仿宋"/>
              </w:rPr>
              <w:t>6</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指示吊牌导视</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1200mm*200mm*65mm</w:t>
            </w: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1</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0"/>
                <w:szCs w:val="20"/>
                <w:u w:val="none"/>
                <w:lang w:val="en-US" w:eastAsia="zh-CN" w:bidi="ar"/>
              </w:rPr>
              <w:t>烤漆字带灯</w:t>
            </w: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7</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科室牌</w:t>
            </w:r>
          </w:p>
        </w:tc>
        <w:tc>
          <w:tcPr>
            <w:tcW w:w="2496" w:type="dxa"/>
            <w:tcBorders>
              <w:top w:val="nil"/>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color w:val="000000"/>
                <w:szCs w:val="21"/>
              </w:rPr>
            </w:pP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6</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0"/>
                <w:szCs w:val="20"/>
                <w:u w:val="none"/>
                <w:lang w:val="en-US" w:eastAsia="zh-CN" w:bidi="ar"/>
              </w:rPr>
              <w:t>亚克力UV双面</w:t>
            </w: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8</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制度</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60cm*80cm</w:t>
            </w: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3</w:t>
            </w:r>
          </w:p>
        </w:tc>
        <w:tc>
          <w:tcPr>
            <w:tcW w:w="1769" w:type="dxa"/>
            <w:vMerge w:val="restart"/>
            <w:tcBorders>
              <w:top w:val="nil"/>
              <w:left w:val="nil"/>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0"/>
                <w:szCs w:val="20"/>
                <w:u w:val="none"/>
                <w:lang w:val="en-US" w:eastAsia="zh-CN" w:bidi="ar"/>
              </w:rPr>
              <w:t>铝合金灯箱</w:t>
            </w: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9</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灯箱</w:t>
            </w:r>
          </w:p>
        </w:tc>
        <w:tc>
          <w:tcPr>
            <w:tcW w:w="2496" w:type="dxa"/>
            <w:tcBorders>
              <w:top w:val="nil"/>
              <w:left w:val="nil"/>
              <w:bottom w:val="single" w:color="auto" w:sz="4" w:space="0"/>
              <w:right w:val="single" w:color="auto" w:sz="4" w:space="0"/>
            </w:tcBorders>
            <w:noWrap w:val="0"/>
            <w:vAlign w:val="center"/>
          </w:tcPr>
          <w:p>
            <w:pPr>
              <w:spacing w:line="273" w:lineRule="auto"/>
              <w:jc w:val="center"/>
              <w:rPr>
                <w:rFonts w:hint="eastAsia" w:ascii="仿宋" w:hAnsi="仿宋" w:eastAsia="仿宋" w:cs="仿宋"/>
                <w:color w:val="000000"/>
                <w:szCs w:val="21"/>
              </w:rPr>
            </w:pP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2</w:t>
            </w:r>
          </w:p>
        </w:tc>
        <w:tc>
          <w:tcPr>
            <w:tcW w:w="1769" w:type="dxa"/>
            <w:vMerge w:val="continue"/>
            <w:tcBorders>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10</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门诊导医形象墙1字</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1cmPVC黑色</w:t>
            </w: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1</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0"/>
                <w:szCs w:val="20"/>
                <w:u w:val="none"/>
                <w:lang w:val="en-US" w:eastAsia="zh-CN" w:bidi="ar"/>
              </w:rPr>
              <w:t>字不带灯</w:t>
            </w: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11</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门诊导医形象墙（字）</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18c</w:t>
            </w:r>
            <w:r>
              <w:rPr>
                <w:rFonts w:hint="eastAsia" w:ascii="仿宋" w:hAnsi="仿宋" w:eastAsia="仿宋" w:cs="仿宋"/>
                <w:color w:val="000000"/>
                <w:lang w:val="en-US" w:eastAsia="zh-CN"/>
              </w:rPr>
              <w:t>m</w:t>
            </w:r>
            <w:r>
              <w:rPr>
                <w:rFonts w:hint="eastAsia" w:ascii="仿宋" w:hAnsi="仿宋" w:eastAsia="仿宋" w:cs="仿宋"/>
                <w:color w:val="000000"/>
              </w:rPr>
              <w:t>*12个</w:t>
            </w: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12</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0"/>
                <w:szCs w:val="20"/>
                <w:u w:val="none"/>
                <w:lang w:val="en-US" w:eastAsia="zh-CN" w:bidi="ar"/>
              </w:rPr>
              <w:t>发光字</w:t>
            </w: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12</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门诊导医形象墙（拼音）</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1cmPVC黑色</w:t>
            </w: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37</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r>
              <w:rPr>
                <w:rFonts w:hint="eastAsia" w:ascii="仿宋" w:hAnsi="仿宋" w:eastAsia="仿宋" w:cs="仿宋"/>
                <w:i w:val="0"/>
                <w:iCs w:val="0"/>
                <w:color w:val="000000"/>
                <w:kern w:val="0"/>
                <w:sz w:val="20"/>
                <w:szCs w:val="20"/>
                <w:u w:val="none"/>
                <w:lang w:val="en-US" w:eastAsia="zh-CN" w:bidi="ar"/>
              </w:rPr>
              <w:t>字不带灯</w:t>
            </w: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rPr>
            </w:pPr>
            <w:r>
              <w:rPr>
                <w:rFonts w:hint="eastAsia" w:ascii="仿宋" w:hAnsi="仿宋" w:eastAsia="仿宋" w:cs="仿宋"/>
              </w:rPr>
              <w:t>13</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门诊导医形象墙底板</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rPr>
              <w:t>11.88</w:t>
            </w:r>
            <w:r>
              <w:rPr>
                <w:rFonts w:hint="eastAsia" w:ascii="仿宋" w:hAnsi="仿宋" w:eastAsia="仿宋" w:cs="仿宋"/>
                <w:color w:val="000000"/>
                <w:lang w:val="en-US" w:eastAsia="zh-CN"/>
              </w:rPr>
              <w:t>m</w:t>
            </w:r>
            <w:r>
              <w:rPr>
                <w:rFonts w:hint="eastAsia" w:ascii="仿宋" w:hAnsi="仿宋" w:eastAsia="仿宋" w:cs="仿宋"/>
                <w:color w:val="000000"/>
                <w:vertAlign w:val="superscript"/>
                <w:lang w:val="en-US" w:eastAsia="zh-CN"/>
              </w:rPr>
              <w:t>2</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lang w:val="en-US" w:eastAsia="zh-CN"/>
              </w:rPr>
            </w:pPr>
            <w:r>
              <w:rPr>
                <w:rFonts w:hint="eastAsia" w:ascii="仿宋" w:hAnsi="仿宋" w:eastAsia="仿宋" w:cs="仿宋"/>
                <w:lang w:val="en-US" w:eastAsia="zh-CN"/>
              </w:rPr>
              <w:t>14</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门诊导医吧台</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lang w:val="en-US" w:eastAsia="zh-CN"/>
              </w:rPr>
            </w:pPr>
            <w:r>
              <w:rPr>
                <w:rFonts w:hint="eastAsia" w:ascii="仿宋" w:hAnsi="仿宋" w:eastAsia="仿宋" w:cs="仿宋"/>
                <w:color w:val="000000"/>
                <w:szCs w:val="21"/>
                <w:lang w:val="en-US" w:eastAsia="zh-CN"/>
              </w:rPr>
              <w:t>“7”字形，3200mm*600mm*750mm/1050mm</w:t>
            </w: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lang w:val="en-US" w:eastAsia="zh-CN"/>
              </w:rPr>
            </w:pPr>
            <w:r>
              <w:rPr>
                <w:rFonts w:hint="eastAsia" w:ascii="仿宋" w:hAnsi="仿宋" w:eastAsia="仿宋" w:cs="仿宋"/>
                <w:color w:val="000000"/>
                <w:lang w:val="en-US" w:eastAsia="zh-CN"/>
              </w:rPr>
              <w:t>1</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eastAsia="zh-CN"/>
              </w:rPr>
            </w:pPr>
            <w:r>
              <w:rPr>
                <w:rFonts w:hint="eastAsia" w:ascii="仿宋" w:hAnsi="仿宋" w:eastAsia="仿宋" w:cs="仿宋"/>
              </w:rPr>
              <w:t>1</w:t>
            </w:r>
            <w:r>
              <w:rPr>
                <w:rFonts w:hint="eastAsia" w:ascii="仿宋" w:hAnsi="仿宋" w:eastAsia="仿宋" w:cs="仿宋"/>
                <w:lang w:val="en-US" w:eastAsia="zh-CN"/>
              </w:rPr>
              <w:t>5</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地贴</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60cm*60cm</w:t>
            </w: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5</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eastAsia="zh-CN"/>
              </w:rPr>
            </w:pPr>
            <w:r>
              <w:rPr>
                <w:rFonts w:hint="eastAsia" w:ascii="仿宋" w:hAnsi="仿宋" w:eastAsia="仿宋" w:cs="仿宋"/>
              </w:rPr>
              <w:t>1</w:t>
            </w:r>
            <w:r>
              <w:rPr>
                <w:rFonts w:hint="eastAsia" w:ascii="仿宋" w:hAnsi="仿宋" w:eastAsia="仿宋" w:cs="仿宋"/>
                <w:lang w:val="en-US" w:eastAsia="zh-CN"/>
              </w:rPr>
              <w:t>6</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门条+2拉</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67cm*10cm</w:t>
            </w: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2</w:t>
            </w: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387" w:hRule="atLeast"/>
          <w:jc w:val="center"/>
        </w:trPr>
        <w:tc>
          <w:tcPr>
            <w:tcW w:w="708" w:type="dxa"/>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eastAsia="zh-CN"/>
              </w:rPr>
            </w:pPr>
            <w:r>
              <w:rPr>
                <w:rFonts w:hint="eastAsia" w:ascii="仿宋" w:hAnsi="仿宋" w:eastAsia="仿宋" w:cs="仿宋"/>
              </w:rPr>
              <w:t>1</w:t>
            </w:r>
            <w:r>
              <w:rPr>
                <w:rFonts w:hint="eastAsia" w:ascii="仿宋" w:hAnsi="仿宋" w:eastAsia="仿宋" w:cs="仿宋"/>
                <w:lang w:val="en-US" w:eastAsia="zh-CN"/>
              </w:rPr>
              <w:t>7</w:t>
            </w:r>
          </w:p>
        </w:tc>
        <w:tc>
          <w:tcPr>
            <w:tcW w:w="2312"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r>
              <w:rPr>
                <w:rFonts w:hint="eastAsia" w:ascii="仿宋" w:hAnsi="仿宋" w:eastAsia="仿宋" w:cs="仿宋"/>
                <w:color w:val="000000"/>
              </w:rPr>
              <w:t>人工安装费</w:t>
            </w:r>
          </w:p>
        </w:tc>
        <w:tc>
          <w:tcPr>
            <w:tcW w:w="2496" w:type="dxa"/>
            <w:tcBorders>
              <w:top w:val="nil"/>
              <w:left w:val="nil"/>
              <w:bottom w:val="single" w:color="auto" w:sz="4" w:space="0"/>
              <w:right w:val="single" w:color="auto" w:sz="4" w:space="0"/>
            </w:tcBorders>
            <w:noWrap w:val="0"/>
            <w:vAlign w:val="center"/>
          </w:tcPr>
          <w:p>
            <w:pPr>
              <w:widowControl/>
              <w:spacing w:line="273" w:lineRule="auto"/>
              <w:jc w:val="center"/>
              <w:textAlignment w:val="center"/>
              <w:rPr>
                <w:rFonts w:hint="eastAsia" w:ascii="仿宋" w:hAnsi="仿宋" w:eastAsia="仿宋" w:cs="仿宋"/>
                <w:color w:val="000000"/>
                <w:szCs w:val="21"/>
              </w:rPr>
            </w:pPr>
          </w:p>
        </w:tc>
        <w:tc>
          <w:tcPr>
            <w:tcW w:w="1019" w:type="dxa"/>
            <w:tcBorders>
              <w:top w:val="nil"/>
              <w:left w:val="nil"/>
              <w:bottom w:val="single" w:color="auto" w:sz="4" w:space="0"/>
              <w:right w:val="single" w:color="auto" w:sz="4" w:space="0"/>
            </w:tcBorders>
            <w:noWrap/>
            <w:vAlign w:val="center"/>
          </w:tcPr>
          <w:p>
            <w:pPr>
              <w:widowControl/>
              <w:spacing w:line="273" w:lineRule="auto"/>
              <w:jc w:val="center"/>
              <w:textAlignment w:val="center"/>
              <w:rPr>
                <w:rFonts w:hint="eastAsia" w:ascii="仿宋" w:hAnsi="仿宋" w:eastAsia="仿宋" w:cs="仿宋"/>
                <w:color w:val="000000"/>
                <w:szCs w:val="21"/>
              </w:rPr>
            </w:pPr>
          </w:p>
        </w:tc>
        <w:tc>
          <w:tcPr>
            <w:tcW w:w="1769" w:type="dxa"/>
            <w:tcBorders>
              <w:top w:val="nil"/>
              <w:left w:val="nil"/>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eastAsia="zh-CN"/>
              </w:rPr>
            </w:pPr>
          </w:p>
        </w:tc>
        <w:tc>
          <w:tcPr>
            <w:tcW w:w="1140" w:type="dxa"/>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szCs w:val="21"/>
                <w:lang w:val="en-US" w:eastAsia="zh-CN"/>
              </w:rPr>
            </w:pPr>
          </w:p>
        </w:tc>
      </w:tr>
      <w:tr>
        <w:tblPrEx>
          <w:tblCellMar>
            <w:top w:w="0" w:type="dxa"/>
            <w:left w:w="108" w:type="dxa"/>
            <w:bottom w:w="0" w:type="dxa"/>
            <w:right w:w="108" w:type="dxa"/>
          </w:tblCellMar>
        </w:tblPrEx>
        <w:trPr>
          <w:trHeight w:val="639" w:hRule="atLeast"/>
          <w:jc w:val="center"/>
        </w:trPr>
        <w:tc>
          <w:tcPr>
            <w:tcW w:w="3020" w:type="dxa"/>
            <w:gridSpan w:val="2"/>
            <w:tcBorders>
              <w:top w:val="nil"/>
              <w:left w:val="single" w:color="auto" w:sz="8" w:space="0"/>
              <w:bottom w:val="single" w:color="auto" w:sz="4" w:space="0"/>
              <w:right w:val="single" w:color="auto" w:sz="4" w:space="0"/>
            </w:tcBorders>
            <w:noWrap/>
            <w:vAlign w:val="center"/>
          </w:tcPr>
          <w:p>
            <w:pPr>
              <w:widowControl/>
              <w:spacing w:line="273" w:lineRule="auto"/>
              <w:jc w:val="center"/>
              <w:rPr>
                <w:rFonts w:hint="eastAsia" w:ascii="仿宋" w:hAnsi="仿宋" w:eastAsia="仿宋" w:cs="仿宋"/>
                <w:szCs w:val="21"/>
                <w:lang w:val="en-US"/>
              </w:rPr>
            </w:pPr>
            <w:r>
              <w:rPr>
                <w:rFonts w:hint="eastAsia" w:ascii="仿宋" w:hAnsi="仿宋" w:eastAsia="仿宋" w:cs="仿宋"/>
                <w:b/>
                <w:bCs/>
                <w:lang w:val="en-US" w:eastAsia="zh-CN"/>
              </w:rPr>
              <w:t>总价</w:t>
            </w:r>
          </w:p>
        </w:tc>
        <w:tc>
          <w:tcPr>
            <w:tcW w:w="6424" w:type="dxa"/>
            <w:gridSpan w:val="4"/>
            <w:tcBorders>
              <w:top w:val="nil"/>
              <w:left w:val="nil"/>
              <w:bottom w:val="single" w:color="auto" w:sz="4" w:space="0"/>
              <w:right w:val="single" w:color="auto" w:sz="8" w:space="0"/>
            </w:tcBorders>
            <w:noWrap/>
            <w:vAlign w:val="center"/>
          </w:tcPr>
          <w:p>
            <w:pPr>
              <w:widowControl/>
              <w:spacing w:line="273" w:lineRule="auto"/>
              <w:jc w:val="center"/>
              <w:rPr>
                <w:rFonts w:hint="eastAsia" w:ascii="仿宋" w:hAnsi="仿宋" w:eastAsia="仿宋" w:cs="仿宋"/>
                <w:b/>
                <w:szCs w:val="21"/>
                <w:lang w:val="en-US" w:eastAsia="zh-CN"/>
              </w:rPr>
            </w:pPr>
          </w:p>
        </w:tc>
      </w:tr>
    </w:tbl>
    <w:p>
      <w:pPr>
        <w:widowControl/>
        <w:spacing w:line="560" w:lineRule="exact"/>
        <w:jc w:val="left"/>
        <w:outlineLvl w:val="1"/>
        <w:rPr>
          <w:rFonts w:hint="eastAsia" w:ascii="仿宋" w:hAnsi="仿宋" w:eastAsia="仿宋"/>
          <w:b/>
          <w:bCs/>
          <w:sz w:val="30"/>
          <w:szCs w:val="30"/>
          <w:lang w:val="en-US" w:eastAsia="zh-CN"/>
        </w:rPr>
      </w:pPr>
      <w:bookmarkStart w:id="0" w:name="_Toc21695"/>
      <w:bookmarkStart w:id="1" w:name="_Toc4578"/>
      <w:bookmarkStart w:id="2" w:name="_Toc3390"/>
      <w:bookmarkStart w:id="3" w:name="bookmark47"/>
      <w:r>
        <w:rPr>
          <w:rFonts w:hint="eastAsia" w:ascii="仿宋" w:hAnsi="仿宋" w:eastAsia="仿宋"/>
          <w:b/>
          <w:bCs/>
          <w:sz w:val="30"/>
          <w:szCs w:val="30"/>
          <w:lang w:val="en-US" w:eastAsia="zh-CN"/>
        </w:rPr>
        <w:t>二、施工要求</w:t>
      </w:r>
      <w:bookmarkEnd w:id="0"/>
      <w:bookmarkEnd w:id="1"/>
      <w:bookmarkEnd w:id="2"/>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1、供应商在投标前，应仔细勘察现场，有疑问必须书面陈述。</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2、成交供应商采购的材料应满足设计和规范要求的质量等级，并须按有关技术规范要求对材料质量进行检验，检验合格后方可进场施工。</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3、因成交供应采购的材料质量引起的工程质量问题由成交供应商承担所造成的一切损失。</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4、供应商必须对主要材料严格按设计要求供货或生产；</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5、本项目为视觉导视安装作业，必须按要求和规范制定安全施工方案，确保安全文明生产，出现任何安全问题均由成交供应商负责。</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6、验收时先按确定的方案验收，再进行质量验收，不合格不予验收。</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7、所有设备的安装配件、辅材需进行细化美光，有黏粘的地方必须牢固，确保质保期内不掉色、脱落。</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8、特别提醒：</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（1）本项目在太湖县，各供应商要认真勘察现场后仔细报价。中标后不得以任何理由要求增加费用。</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2）对布线所经过的路径及所有施工中需要对其他工程项目已完成的工作面拆除、恢复、设计细化等费用由投标人踏勘现场后考虑在投标报价中，一次性包死；设备、材料、安装、调试、验收等一切相关费用均包含在投标报价中。</w:t>
      </w:r>
    </w:p>
    <w:p>
      <w:pPr>
        <w:widowControl/>
        <w:spacing w:line="560" w:lineRule="exact"/>
        <w:ind w:firstLine="600" w:firstLineChars="200"/>
        <w:jc w:val="left"/>
        <w:rPr>
          <w:rFonts w:hint="eastAsia" w:ascii="仿宋" w:hAnsi="仿宋" w:eastAsia="仿宋"/>
          <w:sz w:val="30"/>
          <w:szCs w:val="30"/>
          <w:lang w:val="en-US" w:eastAsia="zh-CN"/>
        </w:rPr>
      </w:pPr>
      <w:r>
        <w:rPr>
          <w:rFonts w:hint="eastAsia" w:ascii="仿宋" w:hAnsi="仿宋" w:eastAsia="仿宋"/>
          <w:sz w:val="30"/>
          <w:szCs w:val="30"/>
          <w:lang w:val="en-US" w:eastAsia="zh-CN"/>
        </w:rPr>
        <w:t>（3）施工安装安全均有成交单位自行负责，所需设备材料全部由施工单位提供，采购人只提供施工所需电源保障。</w:t>
      </w:r>
      <w:bookmarkEnd w:id="3"/>
    </w:p>
    <w:p>
      <w:pPr>
        <w:widowControl/>
        <w:spacing w:line="560" w:lineRule="exact"/>
        <w:jc w:val="left"/>
        <w:outlineLvl w:val="1"/>
        <w:rPr>
          <w:rFonts w:hint="eastAsia" w:ascii="仿宋" w:hAnsi="仿宋" w:eastAsia="仿宋" w:cs="Times New Roman"/>
          <w:b/>
          <w:bCs/>
          <w:sz w:val="30"/>
          <w:szCs w:val="30"/>
          <w:lang w:val="en-US" w:eastAsia="zh-CN"/>
        </w:rPr>
      </w:pPr>
      <w:r>
        <w:rPr>
          <w:rFonts w:hint="eastAsia" w:ascii="仿宋" w:hAnsi="仿宋" w:eastAsia="仿宋" w:cs="Times New Roman"/>
          <w:b/>
          <w:bCs/>
          <w:sz w:val="30"/>
          <w:szCs w:val="30"/>
          <w:lang w:val="en-US" w:eastAsia="zh-CN"/>
        </w:rPr>
        <w:t>三、设计方案</w:t>
      </w:r>
    </w:p>
    <w:p>
      <w:pPr>
        <w:widowControl/>
        <w:spacing w:line="560" w:lineRule="exact"/>
        <w:ind w:firstLine="600" w:firstLineChars="200"/>
        <w:jc w:val="left"/>
        <w:rPr>
          <w:rFonts w:hint="eastAsia" w:ascii="仿宋" w:hAnsi="仿宋" w:eastAsia="仿宋" w:cs="Times New Roman"/>
          <w:sz w:val="30"/>
          <w:szCs w:val="30"/>
          <w:lang w:val="en-US" w:eastAsia="zh-CN"/>
        </w:rPr>
      </w:pPr>
      <w:r>
        <w:rPr>
          <w:rFonts w:hint="eastAsia" w:ascii="仿宋" w:hAnsi="仿宋" w:eastAsia="仿宋" w:cs="Times New Roman"/>
          <w:sz w:val="30"/>
          <w:szCs w:val="30"/>
          <w:lang w:val="en-US" w:eastAsia="zh-CN"/>
        </w:rPr>
        <w:t>1、技术要求中的名称、规格型号、数量等请参照“安徽省结核病防治定点医疗机构视觉形象与环境导向规范设计方案”。</w:t>
      </w:r>
    </w:p>
    <w:p>
      <w:pPr>
        <w:widowControl/>
        <w:spacing w:line="560" w:lineRule="exact"/>
        <w:ind w:firstLine="600" w:firstLineChars="200"/>
        <w:jc w:val="left"/>
        <w:rPr>
          <w:rFonts w:hint="default" w:ascii="仿宋" w:hAnsi="仿宋" w:eastAsia="仿宋" w:cs="Times New Roman"/>
          <w:sz w:val="30"/>
          <w:szCs w:val="30"/>
          <w:lang w:val="en-US" w:eastAsia="zh-CN"/>
        </w:rPr>
      </w:pPr>
      <w:r>
        <w:rPr>
          <w:rFonts w:hint="eastAsia" w:ascii="仿宋" w:hAnsi="仿宋" w:eastAsia="仿宋" w:cs="Times New Roman"/>
          <w:sz w:val="30"/>
          <w:szCs w:val="30"/>
          <w:lang w:val="en-US" w:eastAsia="zh-CN"/>
        </w:rPr>
        <w:t>2、“安徽省结核病防治定点医疗机构视觉形象与环境导向规范设计方案”为全省统一设计模板，设计中以合肥市结核病防治专科门诊为参照进行设计，成交单位在项目地点制作安装时应以合同文件及业主要求进行施工安装。</w:t>
      </w:r>
    </w:p>
    <w:p>
      <w:pPr>
        <w:widowControl/>
        <w:spacing w:line="560" w:lineRule="exact"/>
        <w:jc w:val="left"/>
        <w:outlineLvl w:val="1"/>
        <w:rPr>
          <w:rFonts w:hint="eastAsia" w:ascii="仿宋" w:hAnsi="仿宋" w:eastAsia="仿宋"/>
          <w:b/>
          <w:bCs/>
          <w:sz w:val="30"/>
          <w:szCs w:val="30"/>
          <w:lang w:val="en-US" w:eastAsia="zh-CN"/>
        </w:rPr>
      </w:pPr>
      <w:bookmarkStart w:id="4" w:name="_Toc12597"/>
      <w:bookmarkStart w:id="5" w:name="_Toc4167"/>
      <w:bookmarkStart w:id="6" w:name="_Toc22861"/>
      <w:r>
        <w:rPr>
          <w:rFonts w:hint="eastAsia" w:ascii="仿宋" w:hAnsi="仿宋" w:eastAsia="仿宋"/>
          <w:b/>
          <w:bCs/>
          <w:sz w:val="30"/>
          <w:szCs w:val="30"/>
          <w:lang w:val="en-US" w:eastAsia="zh-CN"/>
        </w:rPr>
        <w:t>四、验收</w:t>
      </w:r>
      <w:bookmarkEnd w:id="4"/>
      <w:bookmarkEnd w:id="5"/>
      <w:bookmarkEnd w:id="6"/>
    </w:p>
    <w:p>
      <w:pPr>
        <w:widowControl/>
        <w:spacing w:line="560" w:lineRule="exact"/>
        <w:ind w:firstLine="600" w:firstLineChars="200"/>
        <w:jc w:val="left"/>
        <w:rPr>
          <w:rFonts w:hint="eastAsia" w:ascii="仿宋" w:hAnsi="仿宋" w:eastAsia="仿宋" w:cs="Times New Roman"/>
          <w:sz w:val="30"/>
          <w:szCs w:val="30"/>
          <w:lang w:val="en-US" w:eastAsia="zh-CN"/>
        </w:rPr>
      </w:pPr>
      <w:r>
        <w:rPr>
          <w:rFonts w:hint="eastAsia" w:ascii="仿宋" w:hAnsi="仿宋" w:eastAsia="仿宋"/>
          <w:sz w:val="30"/>
          <w:szCs w:val="30"/>
          <w:lang w:val="en-US" w:eastAsia="zh-CN"/>
        </w:rPr>
        <w:t>成交供应商和采购人双方依据项目内容和进度共同实施验收工作，验收结果和验</w:t>
      </w:r>
      <w:r>
        <w:rPr>
          <w:rFonts w:hint="eastAsia" w:ascii="仿宋" w:hAnsi="仿宋" w:eastAsia="仿宋" w:cs="Times New Roman"/>
          <w:sz w:val="30"/>
          <w:szCs w:val="30"/>
          <w:lang w:val="en-US" w:eastAsia="zh-CN"/>
        </w:rPr>
        <w:t xml:space="preserve">收报告经双方确认后生效。  </w:t>
      </w:r>
    </w:p>
    <w:p>
      <w:pPr>
        <w:widowControl/>
        <w:spacing w:line="560" w:lineRule="exact"/>
        <w:jc w:val="left"/>
        <w:outlineLvl w:val="1"/>
        <w:rPr>
          <w:rFonts w:hint="eastAsia" w:ascii="仿宋" w:hAnsi="仿宋" w:eastAsia="仿宋" w:cs="Times New Roman"/>
          <w:b/>
          <w:bCs/>
          <w:sz w:val="30"/>
          <w:szCs w:val="30"/>
          <w:lang w:val="en-US" w:eastAsia="zh-CN"/>
        </w:rPr>
      </w:pPr>
      <w:r>
        <w:rPr>
          <w:rFonts w:hint="eastAsia" w:ascii="仿宋" w:hAnsi="仿宋" w:eastAsia="仿宋" w:cs="Times New Roman"/>
          <w:b/>
          <w:bCs/>
          <w:sz w:val="30"/>
          <w:szCs w:val="30"/>
          <w:lang w:val="en-US" w:eastAsia="zh-CN"/>
        </w:rPr>
        <w:t>五、其它事项说明</w:t>
      </w:r>
    </w:p>
    <w:p>
      <w:pPr>
        <w:widowControl/>
        <w:numPr>
          <w:ilvl w:val="0"/>
          <w:numId w:val="0"/>
        </w:numPr>
        <w:spacing w:line="560" w:lineRule="exact"/>
        <w:jc w:val="left"/>
        <w:rPr>
          <w:rFonts w:hint="eastAsia" w:ascii="仿宋" w:hAnsi="仿宋" w:eastAsia="仿宋" w:cs="Times New Roman"/>
          <w:sz w:val="30"/>
          <w:szCs w:val="30"/>
          <w:lang w:val="en-US" w:eastAsia="zh-CN"/>
        </w:rPr>
      </w:pPr>
      <w:r>
        <w:rPr>
          <w:rFonts w:hint="eastAsia" w:ascii="仿宋" w:hAnsi="仿宋" w:eastAsia="仿宋" w:cs="Times New Roman"/>
          <w:sz w:val="30"/>
          <w:szCs w:val="30"/>
          <w:lang w:val="en-US" w:eastAsia="zh-CN"/>
        </w:rPr>
        <w:t xml:space="preserve">      本项目由市疾控中心结防科负责实施监管、验收并办理付款手续。项目结算以第三方审计结果为准，审计费1000元由中标人支付。 </w:t>
      </w:r>
    </w:p>
    <w:p>
      <w:pPr>
        <w:widowControl/>
        <w:numPr>
          <w:ilvl w:val="0"/>
          <w:numId w:val="0"/>
        </w:numPr>
        <w:spacing w:line="560" w:lineRule="exact"/>
        <w:jc w:val="left"/>
        <w:outlineLvl w:val="1"/>
        <w:rPr>
          <w:rFonts w:hint="eastAsia" w:ascii="仿宋" w:hAnsi="仿宋" w:eastAsia="仿宋" w:cs="Times New Roman"/>
          <w:b/>
          <w:bCs/>
          <w:sz w:val="30"/>
          <w:szCs w:val="30"/>
          <w:lang w:val="en-US" w:eastAsia="zh-CN"/>
        </w:rPr>
      </w:pPr>
      <w:r>
        <w:rPr>
          <w:rFonts w:hint="eastAsia" w:ascii="仿宋" w:hAnsi="仿宋" w:eastAsia="仿宋" w:cs="Times New Roman"/>
          <w:b/>
          <w:bCs/>
          <w:sz w:val="30"/>
          <w:szCs w:val="30"/>
          <w:lang w:val="en-US" w:eastAsia="zh-CN"/>
        </w:rPr>
        <w:t>六、安徽省结核病防治定点医疗机构视觉形象与环境导向规范设计方案（详见询价文件）</w:t>
      </w:r>
    </w:p>
    <w:p>
      <w:pPr>
        <w:widowControl/>
        <w:numPr>
          <w:ilvl w:val="0"/>
          <w:numId w:val="0"/>
        </w:numPr>
        <w:spacing w:line="560" w:lineRule="exact"/>
        <w:jc w:val="both"/>
        <w:rPr>
          <w:rFonts w:hint="eastAsia" w:ascii="宋体" w:hAnsi="宋体" w:cs="宋体"/>
          <w:b/>
          <w:bCs/>
          <w:spacing w:val="-11"/>
          <w:sz w:val="32"/>
          <w:szCs w:val="32"/>
        </w:rPr>
      </w:pPr>
      <w:r>
        <w:rPr>
          <w:rFonts w:hint="eastAsia" w:ascii="宋体" w:hAnsi="宋体" w:cs="宋体"/>
          <w:b/>
          <w:bCs/>
          <w:color w:val="000000"/>
          <w:sz w:val="28"/>
          <w:szCs w:val="28"/>
        </w:rPr>
        <w:t xml:space="preserve">         </w:t>
      </w:r>
    </w:p>
    <w:p>
      <w:pPr>
        <w:spacing w:line="560" w:lineRule="exact"/>
        <w:ind w:firstLine="556" w:firstLineChars="200"/>
        <w:rPr>
          <w:rFonts w:hint="eastAsia" w:ascii="仿宋" w:hAnsi="仿宋" w:eastAsia="仿宋"/>
          <w:spacing w:val="-11"/>
          <w:sz w:val="30"/>
          <w:szCs w:val="30"/>
        </w:rPr>
      </w:pPr>
    </w:p>
    <w:p>
      <w:pPr>
        <w:pStyle w:val="3"/>
        <w:spacing w:line="560" w:lineRule="exact"/>
        <w:ind w:firstLine="556" w:firstLineChars="200"/>
        <w:rPr>
          <w:rFonts w:hint="eastAsia" w:ascii="仿宋" w:hAnsi="仿宋" w:eastAsia="仿宋"/>
          <w:spacing w:val="-11"/>
          <w:sz w:val="30"/>
          <w:szCs w:val="30"/>
        </w:rPr>
      </w:pPr>
    </w:p>
    <w:p>
      <w:pPr>
        <w:widowControl/>
        <w:spacing w:line="560" w:lineRule="exact"/>
        <w:ind w:firstLine="556" w:firstLineChars="200"/>
        <w:jc w:val="left"/>
        <w:rPr>
          <w:rFonts w:hint="eastAsia" w:ascii="仿宋" w:hAnsi="仿宋" w:eastAsia="仿宋"/>
          <w:spacing w:val="-11"/>
          <w:sz w:val="30"/>
          <w:szCs w:val="30"/>
        </w:rPr>
      </w:pPr>
    </w:p>
    <w:p>
      <w:pPr>
        <w:widowControl/>
        <w:spacing w:line="560" w:lineRule="exact"/>
        <w:ind w:firstLine="556" w:firstLineChars="200"/>
        <w:jc w:val="left"/>
        <w:rPr>
          <w:rFonts w:hint="eastAsia" w:ascii="仿宋" w:hAnsi="仿宋" w:eastAsia="仿宋"/>
          <w:spacing w:val="-11"/>
          <w:sz w:val="30"/>
          <w:szCs w:val="30"/>
        </w:rPr>
      </w:pPr>
    </w:p>
    <w:p>
      <w:pPr>
        <w:widowControl/>
        <w:spacing w:line="560" w:lineRule="exact"/>
        <w:ind w:firstLine="556" w:firstLineChars="200"/>
        <w:jc w:val="left"/>
        <w:rPr>
          <w:rFonts w:hint="eastAsia" w:ascii="仿宋" w:hAnsi="仿宋" w:eastAsia="仿宋"/>
          <w:spacing w:val="-11"/>
          <w:sz w:val="30"/>
          <w:szCs w:val="30"/>
        </w:rPr>
      </w:pPr>
      <w:bookmarkStart w:id="7" w:name="_GoBack"/>
      <w:bookmarkEnd w:id="7"/>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1OGUzZDdjZWMzOWEzMGQwNzc2YmMxNWIzOWRiOTkifQ=="/>
  </w:docVars>
  <w:rsids>
    <w:rsidRoot w:val="6FCC3101"/>
    <w:rsid w:val="040A7DCA"/>
    <w:rsid w:val="05C70E9C"/>
    <w:rsid w:val="0DD05F81"/>
    <w:rsid w:val="192D1E34"/>
    <w:rsid w:val="1BB654DC"/>
    <w:rsid w:val="1D1A55B8"/>
    <w:rsid w:val="5E6F2A2F"/>
    <w:rsid w:val="6FCC3101"/>
    <w:rsid w:val="7C144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spacing w:after="120"/>
    </w:pPr>
  </w:style>
  <w:style w:type="paragraph" w:styleId="4">
    <w:name w:val="Date"/>
    <w:basedOn w:val="1"/>
    <w:next w:val="1"/>
    <w:qFormat/>
    <w:uiPriority w:val="0"/>
    <w:rPr>
      <w:b/>
      <w:sz w:val="28"/>
    </w:rPr>
  </w:style>
  <w:style w:type="paragraph" w:styleId="5">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2023-09-20T02:24:00Z</dcterms:created>
  <dc:creator>啊鲸</dc:creator>
  <cp:lastModifiedBy>周敏</cp:lastModifiedBy>
  <dcterms:modified xsi:type="dcterms:W3CDTF">2023-09-25T06:37:52Z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46D049F8BDD640A49E49E83626DEAE93_11</vt:lpwstr>
  </property>
</Properties>
</file>