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bCs/>
          <w:color w:val="000000"/>
          <w:kern w:val="0"/>
          <w:sz w:val="32"/>
          <w:szCs w:val="32"/>
          <w:lang w:bidi="ar"/>
        </w:rPr>
        <w:t>采购需求</w:t>
      </w:r>
    </w:p>
    <w:p>
      <w:pPr>
        <w:pStyle w:val="5"/>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黑体" w:hAnsi="黑体" w:eastAsia="黑体" w:cs="黑体"/>
          <w:b w:val="0"/>
          <w:bCs w:val="0"/>
          <w:color w:val="000000"/>
          <w:kern w:val="0"/>
          <w:sz w:val="28"/>
          <w:szCs w:val="28"/>
          <w:lang w:val="zh-CN" w:bidi="ar"/>
        </w:rPr>
      </w:pPr>
      <w:r>
        <w:rPr>
          <w:rFonts w:hint="eastAsia" w:ascii="黑体" w:hAnsi="黑体" w:eastAsia="黑体" w:cs="黑体"/>
          <w:b w:val="0"/>
          <w:bCs w:val="0"/>
          <w:color w:val="000000"/>
          <w:kern w:val="0"/>
          <w:sz w:val="28"/>
          <w:szCs w:val="28"/>
          <w:lang w:val="zh-CN" w:bidi="ar"/>
        </w:rPr>
        <w:t>一、采购内容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kern w:val="2"/>
          <w:sz w:val="28"/>
          <w:szCs w:val="28"/>
          <w:lang w:val="en-US" w:eastAsia="zh-CN" w:bidi="ar-SA"/>
        </w:rPr>
      </w:pPr>
    </w:p>
    <w:p>
      <w:pPr>
        <w:spacing w:line="520" w:lineRule="exact"/>
        <w:ind w:firstLine="560" w:firstLineChars="200"/>
        <w:rPr>
          <w:rFonts w:hint="eastAsia" w:ascii="仿宋" w:hAnsi="仿宋" w:eastAsia="仿宋" w:cs="仿宋"/>
          <w:snapToGrid w:val="0"/>
          <w:color w:val="auto"/>
          <w:kern w:val="2"/>
          <w:sz w:val="28"/>
          <w:szCs w:val="28"/>
          <w:lang w:val="en-US" w:eastAsia="zh-CN" w:bidi="ar-SA"/>
        </w:rPr>
      </w:pPr>
      <w:r>
        <w:rPr>
          <w:rFonts w:hint="eastAsia" w:ascii="仿宋" w:hAnsi="仿宋" w:eastAsia="仿宋" w:cs="仿宋"/>
          <w:snapToGrid w:val="0"/>
          <w:color w:val="auto"/>
          <w:kern w:val="2"/>
          <w:sz w:val="28"/>
          <w:szCs w:val="28"/>
          <w:lang w:val="en-US" w:eastAsia="zh-CN" w:bidi="ar-SA"/>
        </w:rPr>
        <w:t>1、采购SPF级鸡蛋900个，无特定病原体鸡蛋，经过特殊筛选和饲养的SPF鸡所产下的蛋。确保SPF鸡在饲养过程中，没有特定的病原体，如细菌、病毒等；此外，确保SPF鸡蛋不含激素。</w:t>
      </w:r>
    </w:p>
    <w:p>
      <w:pPr>
        <w:spacing w:line="520" w:lineRule="exact"/>
        <w:ind w:firstLine="560" w:firstLineChars="200"/>
        <w:rPr>
          <w:rFonts w:ascii="仿宋" w:hAnsi="仿宋" w:eastAsia="仿宋" w:cs="仿宋"/>
          <w:snapToGrid w:val="0"/>
          <w:color w:val="auto"/>
          <w:sz w:val="28"/>
          <w:szCs w:val="28"/>
        </w:rPr>
      </w:pPr>
      <w:r>
        <w:rPr>
          <w:rFonts w:hint="eastAsia" w:ascii="仿宋" w:hAnsi="仿宋" w:eastAsia="仿宋" w:cs="仿宋"/>
          <w:snapToGrid w:val="0"/>
          <w:color w:val="auto"/>
          <w:sz w:val="28"/>
          <w:szCs w:val="28"/>
        </w:rPr>
        <w:t>2、每批次的产品（SPF级鸡蛋）需提供实验动物质量合格证以及检测报告，检测报告所含检测项目如下：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361"/>
        <w:gridCol w:w="741"/>
        <w:gridCol w:w="2431"/>
        <w:gridCol w:w="811"/>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2" w:type="dxa"/>
            <w:noWrap w:val="0"/>
            <w:vAlign w:val="top"/>
          </w:tcPr>
          <w:p>
            <w:pPr>
              <w:spacing w:line="520" w:lineRule="exact"/>
              <w:jc w:val="center"/>
              <w:rPr>
                <w:rFonts w:hint="eastAsia" w:ascii="仿宋" w:hAnsi="仿宋" w:eastAsia="仿宋" w:cs="仿宋"/>
                <w:b/>
                <w:bCs/>
                <w:snapToGrid w:val="0"/>
                <w:color w:val="auto"/>
                <w:sz w:val="24"/>
              </w:rPr>
            </w:pPr>
            <w:r>
              <w:rPr>
                <w:rFonts w:hint="eastAsia" w:ascii="仿宋" w:hAnsi="仿宋" w:eastAsia="仿宋" w:cs="仿宋"/>
                <w:b/>
                <w:bCs/>
                <w:snapToGrid w:val="0"/>
                <w:color w:val="auto"/>
                <w:sz w:val="24"/>
              </w:rPr>
              <w:t>序号</w:t>
            </w:r>
          </w:p>
        </w:tc>
        <w:tc>
          <w:tcPr>
            <w:tcW w:w="2361" w:type="dxa"/>
            <w:noWrap w:val="0"/>
            <w:vAlign w:val="top"/>
          </w:tcPr>
          <w:p>
            <w:pPr>
              <w:spacing w:line="520" w:lineRule="exact"/>
              <w:jc w:val="center"/>
              <w:rPr>
                <w:rFonts w:hint="eastAsia" w:ascii="仿宋" w:hAnsi="仿宋" w:eastAsia="仿宋" w:cs="仿宋"/>
                <w:b/>
                <w:bCs/>
                <w:snapToGrid w:val="0"/>
                <w:color w:val="auto"/>
                <w:sz w:val="24"/>
              </w:rPr>
            </w:pPr>
            <w:r>
              <w:rPr>
                <w:rFonts w:hint="eastAsia" w:ascii="仿宋" w:hAnsi="仿宋" w:eastAsia="仿宋" w:cs="仿宋"/>
                <w:b/>
                <w:bCs/>
                <w:snapToGrid w:val="0"/>
                <w:color w:val="auto"/>
                <w:sz w:val="24"/>
              </w:rPr>
              <w:t>检测项目</w:t>
            </w:r>
          </w:p>
        </w:tc>
        <w:tc>
          <w:tcPr>
            <w:tcW w:w="741" w:type="dxa"/>
            <w:noWrap w:val="0"/>
            <w:vAlign w:val="top"/>
          </w:tcPr>
          <w:p>
            <w:pPr>
              <w:spacing w:line="520" w:lineRule="exact"/>
              <w:jc w:val="center"/>
              <w:rPr>
                <w:rFonts w:hint="eastAsia" w:ascii="仿宋" w:hAnsi="仿宋" w:eastAsia="仿宋" w:cs="仿宋"/>
                <w:b/>
                <w:bCs/>
                <w:snapToGrid w:val="0"/>
                <w:color w:val="auto"/>
                <w:sz w:val="24"/>
              </w:rPr>
            </w:pPr>
            <w:r>
              <w:rPr>
                <w:rFonts w:hint="eastAsia" w:ascii="仿宋" w:hAnsi="仿宋" w:eastAsia="仿宋" w:cs="仿宋"/>
                <w:b/>
                <w:bCs/>
                <w:snapToGrid w:val="0"/>
                <w:color w:val="auto"/>
                <w:sz w:val="24"/>
              </w:rPr>
              <w:t>序号</w:t>
            </w:r>
          </w:p>
        </w:tc>
        <w:tc>
          <w:tcPr>
            <w:tcW w:w="2431" w:type="dxa"/>
            <w:noWrap w:val="0"/>
            <w:vAlign w:val="top"/>
          </w:tcPr>
          <w:p>
            <w:pPr>
              <w:spacing w:line="520" w:lineRule="exact"/>
              <w:jc w:val="center"/>
              <w:rPr>
                <w:rFonts w:hint="eastAsia" w:ascii="仿宋" w:hAnsi="仿宋" w:eastAsia="仿宋" w:cs="仿宋"/>
                <w:b/>
                <w:bCs/>
                <w:snapToGrid w:val="0"/>
                <w:color w:val="auto"/>
                <w:sz w:val="24"/>
              </w:rPr>
            </w:pPr>
            <w:r>
              <w:rPr>
                <w:rFonts w:hint="eastAsia" w:ascii="仿宋" w:hAnsi="仿宋" w:eastAsia="仿宋" w:cs="仿宋"/>
                <w:b/>
                <w:bCs/>
                <w:snapToGrid w:val="0"/>
                <w:color w:val="auto"/>
                <w:sz w:val="24"/>
              </w:rPr>
              <w:t>检测项目</w:t>
            </w:r>
          </w:p>
        </w:tc>
        <w:tc>
          <w:tcPr>
            <w:tcW w:w="811" w:type="dxa"/>
            <w:noWrap w:val="0"/>
            <w:vAlign w:val="top"/>
          </w:tcPr>
          <w:p>
            <w:pPr>
              <w:spacing w:line="520" w:lineRule="exact"/>
              <w:jc w:val="center"/>
              <w:rPr>
                <w:rFonts w:hint="eastAsia" w:ascii="仿宋" w:hAnsi="仿宋" w:eastAsia="仿宋" w:cs="仿宋"/>
                <w:b/>
                <w:bCs/>
                <w:snapToGrid w:val="0"/>
                <w:color w:val="auto"/>
                <w:sz w:val="24"/>
              </w:rPr>
            </w:pPr>
            <w:r>
              <w:rPr>
                <w:rFonts w:hint="eastAsia" w:ascii="仿宋" w:hAnsi="仿宋" w:eastAsia="仿宋" w:cs="仿宋"/>
                <w:b/>
                <w:bCs/>
                <w:snapToGrid w:val="0"/>
                <w:color w:val="auto"/>
                <w:sz w:val="24"/>
              </w:rPr>
              <w:t>序号</w:t>
            </w:r>
          </w:p>
        </w:tc>
        <w:tc>
          <w:tcPr>
            <w:tcW w:w="2362" w:type="dxa"/>
            <w:noWrap w:val="0"/>
            <w:vAlign w:val="top"/>
          </w:tcPr>
          <w:p>
            <w:pPr>
              <w:spacing w:line="520" w:lineRule="exact"/>
              <w:jc w:val="center"/>
              <w:rPr>
                <w:rFonts w:hint="eastAsia" w:ascii="仿宋" w:hAnsi="仿宋" w:eastAsia="仿宋" w:cs="仿宋"/>
                <w:b/>
                <w:bCs/>
                <w:snapToGrid w:val="0"/>
                <w:color w:val="auto"/>
                <w:sz w:val="24"/>
              </w:rPr>
            </w:pPr>
            <w:r>
              <w:rPr>
                <w:rFonts w:hint="eastAsia" w:ascii="仿宋" w:hAnsi="仿宋" w:eastAsia="仿宋" w:cs="仿宋"/>
                <w:b/>
                <w:bCs/>
                <w:snapToGrid w:val="0"/>
                <w:color w:val="auto"/>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禽腺病毒Ⅰ群</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8</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禽腺病毒Ш群(EDS)</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15</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淋巴白血病病毒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2</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禽呼肠孤病毒</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9</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禽副流感病</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16</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禽脑脊髓炎病毒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3</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网状内皮增生症病毒</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10</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新城疫病毒</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17</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鸡传染性贫血病毒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4</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传染性法氏囊病病毒</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11</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传染性支气管炎病毒</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18</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禽痘病毒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5</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马立克氏病毒</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12</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鸡白痢沙门氏菌</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19</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副鸡嗜血杆菌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6</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传染性喉气管炎病毒</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13</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鸡毒支原体</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20</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多杀性巴氏杆菌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2"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7</w:t>
            </w:r>
          </w:p>
        </w:tc>
        <w:tc>
          <w:tcPr>
            <w:tcW w:w="236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禽流感病毒</w:t>
            </w:r>
          </w:p>
        </w:tc>
        <w:tc>
          <w:tcPr>
            <w:tcW w:w="74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14</w:t>
            </w:r>
          </w:p>
        </w:tc>
        <w:tc>
          <w:tcPr>
            <w:tcW w:w="2431"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滑液囊支原体</w:t>
            </w:r>
          </w:p>
        </w:tc>
        <w:tc>
          <w:tcPr>
            <w:tcW w:w="811" w:type="dxa"/>
            <w:noWrap w:val="0"/>
            <w:vAlign w:val="top"/>
          </w:tcPr>
          <w:p>
            <w:pPr>
              <w:jc w:val="center"/>
              <w:rPr>
                <w:rFonts w:hint="eastAsia" w:ascii="仿宋" w:hAnsi="仿宋" w:eastAsia="仿宋" w:cs="仿宋"/>
                <w:b/>
                <w:bCs/>
                <w:snapToGrid w:val="0"/>
                <w:color w:val="auto"/>
                <w:szCs w:val="21"/>
              </w:rPr>
            </w:pPr>
            <w:r>
              <w:rPr>
                <w:rFonts w:hint="eastAsia" w:ascii="仿宋" w:hAnsi="仿宋" w:eastAsia="仿宋" w:cs="仿宋"/>
                <w:b/>
                <w:bCs/>
                <w:snapToGrid w:val="0"/>
                <w:color w:val="auto"/>
                <w:szCs w:val="21"/>
              </w:rPr>
              <w:t>21</w:t>
            </w:r>
          </w:p>
        </w:tc>
        <w:tc>
          <w:tcPr>
            <w:tcW w:w="2362" w:type="dxa"/>
            <w:noWrap w:val="0"/>
            <w:vAlign w:val="top"/>
          </w:tcPr>
          <w:p>
            <w:pPr>
              <w:rPr>
                <w:rFonts w:hint="eastAsia" w:ascii="仿宋" w:hAnsi="仿宋" w:eastAsia="仿宋" w:cs="仿宋"/>
                <w:snapToGrid w:val="0"/>
                <w:color w:val="auto"/>
                <w:szCs w:val="21"/>
              </w:rPr>
            </w:pPr>
            <w:r>
              <w:rPr>
                <w:rFonts w:hint="eastAsia" w:ascii="仿宋" w:hAnsi="仿宋" w:eastAsia="仿宋" w:cs="仿宋"/>
                <w:snapToGrid w:val="0"/>
                <w:color w:val="auto"/>
                <w:szCs w:val="21"/>
              </w:rPr>
              <w:t>禽结核</w:t>
            </w:r>
          </w:p>
        </w:tc>
      </w:tr>
    </w:tbl>
    <w:p>
      <w:pPr>
        <w:spacing w:line="520" w:lineRule="exact"/>
        <w:rPr>
          <w:rFonts w:hint="eastAsia" w:ascii="仿宋" w:hAnsi="仿宋" w:eastAsia="仿宋" w:cs="仿宋"/>
          <w:snapToGrid w:val="0"/>
          <w:color w:val="auto"/>
          <w:szCs w:val="21"/>
        </w:rPr>
      </w:pPr>
    </w:p>
    <w:p>
      <w:pPr>
        <w:rPr>
          <w:rFonts w:hint="eastAsia"/>
        </w:r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黑体" w:hAnsi="黑体" w:eastAsia="黑体" w:cs="黑体"/>
          <w:b w:val="0"/>
          <w:bCs w:val="0"/>
          <w:color w:val="000000"/>
          <w:kern w:val="0"/>
          <w:sz w:val="28"/>
          <w:szCs w:val="28"/>
          <w:lang w:val="zh-CN" w:bidi="ar"/>
        </w:rPr>
      </w:pPr>
      <w:r>
        <w:rPr>
          <w:rFonts w:hint="eastAsia" w:ascii="黑体" w:hAnsi="黑体" w:eastAsia="黑体" w:cs="黑体"/>
          <w:b w:val="0"/>
          <w:bCs w:val="0"/>
          <w:color w:val="000000"/>
          <w:kern w:val="0"/>
          <w:sz w:val="28"/>
          <w:szCs w:val="28"/>
          <w:lang w:val="zh-CN" w:bidi="ar"/>
        </w:rPr>
        <w:t>二、采购商务要求</w:t>
      </w:r>
    </w:p>
    <w:p>
      <w:pPr>
        <w:pStyle w:val="5"/>
        <w:keepNext w:val="0"/>
        <w:keepLines w:val="0"/>
        <w:pageBreakBefore w:val="0"/>
        <w:widowControl w:val="0"/>
        <w:kinsoku/>
        <w:wordWrap/>
        <w:overflowPunct/>
        <w:topLinePunct w:val="0"/>
        <w:autoSpaceDE/>
        <w:autoSpaceDN/>
        <w:bidi w:val="0"/>
        <w:adjustRightInd/>
        <w:snapToGrid/>
        <w:spacing w:line="520" w:lineRule="exact"/>
        <w:ind w:left="420"/>
        <w:jc w:val="both"/>
        <w:textAlignment w:val="auto"/>
        <w:rPr>
          <w:rFonts w:hint="eastAsia" w:ascii="仿宋" w:hAnsi="仿宋" w:eastAsia="仿宋" w:cs="仿宋"/>
          <w:snapToGrid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napToGrid w:val="0"/>
          <w:sz w:val="28"/>
          <w:szCs w:val="28"/>
        </w:rPr>
      </w:pPr>
      <w:r>
        <w:rPr>
          <w:rFonts w:hint="eastAsia" w:ascii="楷体" w:hAnsi="楷体" w:eastAsia="楷体" w:cs="楷体"/>
          <w:b/>
          <w:bCs/>
          <w:sz w:val="28"/>
          <w:szCs w:val="28"/>
        </w:rPr>
        <w:t>（一）报价要求：</w:t>
      </w:r>
      <w:r>
        <w:rPr>
          <w:rFonts w:hint="eastAsia" w:ascii="仿宋" w:hAnsi="仿宋" w:eastAsia="仿宋" w:cs="仿宋"/>
          <w:snapToGrid w:val="0"/>
          <w:sz w:val="28"/>
          <w:szCs w:val="28"/>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napToGrid w:val="0"/>
          <w:sz w:val="28"/>
          <w:szCs w:val="28"/>
          <w:lang w:val="zh-CN"/>
        </w:rPr>
      </w:pPr>
      <w:r>
        <w:rPr>
          <w:rFonts w:hint="eastAsia" w:ascii="楷体" w:hAnsi="楷体" w:eastAsia="楷体" w:cs="楷体"/>
          <w:b/>
          <w:bCs/>
          <w:snapToGrid w:val="0"/>
          <w:sz w:val="28"/>
          <w:szCs w:val="28"/>
        </w:rPr>
        <w:t>（二）交货地点：</w:t>
      </w:r>
      <w:r>
        <w:rPr>
          <w:rFonts w:hint="eastAsia" w:ascii="仿宋" w:hAnsi="仿宋" w:eastAsia="仿宋" w:cs="仿宋"/>
          <w:b/>
          <w:bCs/>
          <w:snapToGrid w:val="0"/>
          <w:sz w:val="28"/>
          <w:szCs w:val="28"/>
        </w:rPr>
        <w:t>采购人指定地点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napToGrid w:val="0"/>
          <w:sz w:val="28"/>
          <w:szCs w:val="28"/>
        </w:rPr>
      </w:pPr>
      <w:r>
        <w:rPr>
          <w:rFonts w:hint="eastAsia" w:ascii="楷体" w:hAnsi="楷体" w:eastAsia="楷体" w:cs="楷体"/>
          <w:b/>
          <w:bCs/>
          <w:snapToGrid w:val="0"/>
          <w:sz w:val="28"/>
          <w:szCs w:val="28"/>
        </w:rPr>
        <w:t>（</w:t>
      </w:r>
      <w:r>
        <w:rPr>
          <w:rFonts w:hint="eastAsia" w:ascii="楷体" w:hAnsi="楷体" w:eastAsia="楷体" w:cs="楷体"/>
          <w:b/>
          <w:bCs/>
          <w:snapToGrid w:val="0"/>
          <w:sz w:val="28"/>
          <w:szCs w:val="28"/>
          <w:lang w:eastAsia="zh-CN"/>
        </w:rPr>
        <w:t>三</w:t>
      </w:r>
      <w:r>
        <w:rPr>
          <w:rFonts w:hint="eastAsia" w:ascii="楷体" w:hAnsi="楷体" w:eastAsia="楷体" w:cs="楷体"/>
          <w:b/>
          <w:bCs/>
          <w:snapToGrid w:val="0"/>
          <w:sz w:val="28"/>
          <w:szCs w:val="28"/>
        </w:rPr>
        <w:t>）售后服务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1.保修及售后服务：依据商品的保修条款及售后服务条款，提供原厂质保，质保期按照国家规定，且不低于所供品牌向用户承诺的质保期限。询价文件另有约定的从其约定。质保期从货物验收合格后算起。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color w:val="FF0000"/>
          <w:sz w:val="28"/>
          <w:szCs w:val="28"/>
        </w:rPr>
      </w:pPr>
      <w:r>
        <w:rPr>
          <w:rFonts w:hint="eastAsia" w:ascii="仿宋" w:hAnsi="仿宋" w:eastAsia="仿宋" w:cs="仿宋"/>
          <w:b w:val="0"/>
          <w:bCs w:val="0"/>
          <w:sz w:val="28"/>
          <w:szCs w:val="28"/>
        </w:rPr>
        <w:t>2.供货要求：合同签订后，供应商需按业主具体需求分批次发货，（接到指令之日起20个日历天内完成），否则，采购人有权解除合同，由此造成的全部损失，由成交供应商全部承担。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rPr>
      </w:pPr>
      <w:r>
        <w:rPr>
          <w:rFonts w:hint="eastAsia" w:ascii="仿宋" w:hAnsi="仿宋" w:eastAsia="仿宋" w:cs="仿宋"/>
          <w:b w:val="0"/>
          <w:bCs w:val="0"/>
          <w:snapToGrid w:val="0"/>
          <w:sz w:val="28"/>
          <w:szCs w:val="28"/>
        </w:rPr>
        <w:t>3.</w:t>
      </w:r>
      <w:r>
        <w:rPr>
          <w:rFonts w:hint="eastAsia" w:ascii="仿宋" w:hAnsi="仿宋" w:eastAsia="仿宋" w:cs="仿宋"/>
          <w:b w:val="0"/>
          <w:bCs w:val="0"/>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楷体" w:hAnsi="楷体" w:eastAsia="楷体" w:cs="楷体"/>
          <w:b/>
          <w:bCs/>
          <w:snapToGrid w:val="0"/>
          <w:sz w:val="28"/>
          <w:szCs w:val="28"/>
        </w:rPr>
        <w:t>（</w:t>
      </w:r>
      <w:r>
        <w:rPr>
          <w:rFonts w:hint="eastAsia" w:ascii="楷体" w:hAnsi="楷体" w:eastAsia="楷体" w:cs="楷体"/>
          <w:b/>
          <w:bCs/>
          <w:snapToGrid w:val="0"/>
          <w:sz w:val="28"/>
          <w:szCs w:val="28"/>
          <w:lang w:eastAsia="zh-CN"/>
        </w:rPr>
        <w:t>四</w:t>
      </w:r>
      <w:r>
        <w:rPr>
          <w:rFonts w:hint="eastAsia" w:ascii="楷体" w:hAnsi="楷体" w:eastAsia="楷体" w:cs="楷体"/>
          <w:b/>
          <w:bCs/>
          <w:snapToGrid w:val="0"/>
          <w:sz w:val="28"/>
          <w:szCs w:val="28"/>
        </w:rPr>
        <w:t>）付款及结算方式：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rPr>
        <w:t>15</w:t>
      </w:r>
      <w:r>
        <w:rPr>
          <w:rFonts w:hint="eastAsia" w:ascii="仿宋" w:hAnsi="仿宋" w:eastAsia="仿宋" w:cs="仿宋"/>
          <w:snapToGrid w:val="0"/>
          <w:sz w:val="28"/>
          <w:szCs w:val="28"/>
          <w:lang w:val="zh-CN"/>
        </w:rPr>
        <w:t>个工作日内结清全部货款。</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五</w:t>
      </w:r>
      <w:r>
        <w:rPr>
          <w:rFonts w:hint="eastAsia" w:ascii="楷体" w:hAnsi="楷体" w:eastAsia="楷体" w:cs="楷体"/>
          <w:b/>
          <w:bCs/>
          <w:sz w:val="28"/>
          <w:szCs w:val="28"/>
        </w:rPr>
        <w:t>）</w:t>
      </w:r>
      <w:r>
        <w:rPr>
          <w:rFonts w:hint="eastAsia" w:ascii="仿宋" w:hAnsi="仿宋" w:eastAsia="仿宋" w:cs="仿宋"/>
          <w:snapToGrid w:val="0"/>
          <w:sz w:val="28"/>
          <w:szCs w:val="28"/>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六</w:t>
      </w:r>
      <w:r>
        <w:rPr>
          <w:rFonts w:hint="eastAsia" w:ascii="楷体" w:hAnsi="楷体" w:eastAsia="楷体" w:cs="楷体"/>
          <w:b/>
          <w:bCs/>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七</w:t>
      </w:r>
      <w:r>
        <w:rPr>
          <w:rFonts w:hint="eastAsia" w:ascii="楷体" w:hAnsi="楷体" w:eastAsia="楷体" w:cs="楷体"/>
          <w:b/>
          <w:bCs/>
          <w:sz w:val="28"/>
          <w:szCs w:val="28"/>
        </w:rPr>
        <w:t>）其它说明</w:t>
      </w:r>
    </w:p>
    <w:p>
      <w:pPr>
        <w:pStyle w:val="10"/>
        <w:keepNext w:val="0"/>
        <w:keepLines w:val="0"/>
        <w:pageBreakBefore w:val="0"/>
        <w:widowControl w:val="0"/>
        <w:kinsoku/>
        <w:wordWrap/>
        <w:overflowPunct/>
        <w:topLinePunct w:val="0"/>
        <w:autoSpaceDE/>
        <w:autoSpaceDN/>
        <w:bidi w:val="0"/>
        <w:adjustRightInd/>
        <w:snapToGrid/>
        <w:spacing w:before="120"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p>
    <w:p/>
    <w:sectPr>
      <w:pgSz w:w="11906" w:h="16838"/>
      <w:pgMar w:top="1247" w:right="1134"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769D28-25D5-4C14-A8D6-4A6E955CC2E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77AF538-15BF-45BB-B316-CE0108C1235F}"/>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17E3AB7E-E8B8-457E-BA63-BB8731C780E9}"/>
  </w:font>
  <w:font w:name="仿宋">
    <w:panose1 w:val="02010609060101010101"/>
    <w:charset w:val="86"/>
    <w:family w:val="auto"/>
    <w:pitch w:val="default"/>
    <w:sig w:usb0="800002BF" w:usb1="38CF7CFA" w:usb2="00000016" w:usb3="00000000" w:csb0="00040001" w:csb1="00000000"/>
    <w:embedRegular r:id="rId4" w:fontKey="{6C11B256-A3B2-4BFA-8A3F-87C1F01B7EAE}"/>
  </w:font>
  <w:font w:name="楷体">
    <w:panose1 w:val="02010609060101010101"/>
    <w:charset w:val="86"/>
    <w:family w:val="modern"/>
    <w:pitch w:val="default"/>
    <w:sig w:usb0="800002BF" w:usb1="38CF7CFA" w:usb2="00000016" w:usb3="00000000" w:csb0="00040001" w:csb1="00000000"/>
    <w:embedRegular r:id="rId5" w:fontKey="{1389D8AE-7C8E-45C0-A44B-24FAAE95286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OGFkOTI3OWE4NTA5NmRhN2Q0YTY1NmE3MjU5Y2IifQ=="/>
  </w:docVars>
  <w:rsids>
    <w:rsidRoot w:val="0E717382"/>
    <w:rsid w:val="0E717382"/>
    <w:rsid w:val="11FA1484"/>
    <w:rsid w:val="5D2D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4"/>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character" w:customStyle="1" w:styleId="8">
    <w:name w:val="font81"/>
    <w:basedOn w:val="7"/>
    <w:uiPriority w:val="0"/>
    <w:rPr>
      <w:rFonts w:ascii="Calibri" w:hAnsi="Calibri" w:cs="Calibri"/>
      <w:color w:val="000000"/>
      <w:sz w:val="21"/>
      <w:szCs w:val="21"/>
      <w:u w:val="none"/>
    </w:rPr>
  </w:style>
  <w:style w:type="character" w:customStyle="1" w:styleId="9">
    <w:name w:val="font91"/>
    <w:basedOn w:val="7"/>
    <w:uiPriority w:val="0"/>
    <w:rPr>
      <w:rFonts w:hint="eastAsia" w:ascii="宋体" w:hAnsi="宋体" w:eastAsia="宋体" w:cs="宋体"/>
      <w:color w:val="000000"/>
      <w:sz w:val="21"/>
      <w:szCs w:val="21"/>
      <w:u w:val="none"/>
    </w:rPr>
  </w:style>
  <w:style w:type="paragraph" w:customStyle="1" w:styleId="10">
    <w:name w:val="模板普通正文"/>
    <w:basedOn w:val="3"/>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2024-03-19T00:34:00Z</dcterms:created>
  <dc:creator>赤湖</dc:creator>
  <cp:lastModifiedBy>赤湖</cp:lastModifiedBy>
  <dcterms:modified xsi:type="dcterms:W3CDTF">2024-03-19T03:01:30Z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A1C4BE06EB77477B90637DFF47C2154E_13</vt:lpwstr>
  </property>
</Properties>
</file>