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spacing w:line="520" w:lineRule="exact"/>
        <w:ind w:firstLine="640" w:firstLineChars="200"/>
        <w:jc w:val="center"/>
        <w:rPr>
          <w:rFonts w:hint="eastAsia" w:ascii="微软雅黑" w:hAnsi="微软雅黑" w:eastAsia="微软雅黑" w:cs="微软雅黑"/>
          <w:color w:val="000000"/>
          <w:kern w:val="0"/>
          <w:sz w:val="32"/>
          <w:szCs w:val="32"/>
          <w:lang w:bidi="ar"/>
        </w:rPr>
      </w:pPr>
      <w:bookmarkStart w:id="1" w:name="_GoBack"/>
      <w:bookmarkEnd w:id="1"/>
      <w:r>
        <w:rPr>
          <w:rFonts w:hint="eastAsia" w:ascii="微软雅黑" w:hAnsi="微软雅黑" w:eastAsia="微软雅黑" w:cs="微软雅黑"/>
          <w:color w:val="000000"/>
          <w:kern w:val="0"/>
          <w:sz w:val="32"/>
          <w:szCs w:val="32"/>
          <w:lang w:bidi="ar"/>
        </w:rPr>
        <w:t>采购需求</w:t>
      </w:r>
    </w:p>
    <w:p>
      <w:pPr>
        <w:pStyle w:val="9"/>
        <w:spacing w:line="520" w:lineRule="exact"/>
        <w:ind w:firstLine="560" w:firstLineChars="200"/>
        <w:jc w:val="left"/>
        <w:rPr>
          <w:rFonts w:hint="eastAsia" w:ascii="黑体" w:hAnsi="黑体" w:eastAsia="黑体" w:cs="黑体"/>
          <w:color w:val="000000"/>
          <w:kern w:val="0"/>
          <w:sz w:val="28"/>
          <w:szCs w:val="28"/>
          <w:lang w:val="zh-CN" w:bidi="ar"/>
        </w:rPr>
      </w:pPr>
    </w:p>
    <w:p>
      <w:pPr>
        <w:pStyle w:val="9"/>
        <w:spacing w:line="520" w:lineRule="exact"/>
        <w:ind w:firstLine="560" w:firstLineChars="200"/>
        <w:jc w:val="left"/>
        <w:rPr>
          <w:rFonts w:hint="eastAsia" w:ascii="黑体" w:hAnsi="黑体" w:eastAsia="黑体" w:cs="黑体"/>
          <w:color w:val="000000"/>
          <w:kern w:val="0"/>
          <w:sz w:val="30"/>
          <w:szCs w:val="30"/>
          <w:lang w:val="zh-CN" w:bidi="ar"/>
        </w:rPr>
      </w:pPr>
      <w:r>
        <w:rPr>
          <w:rFonts w:hint="eastAsia" w:ascii="黑体" w:hAnsi="黑体" w:eastAsia="黑体" w:cs="黑体"/>
          <w:color w:val="000000"/>
          <w:kern w:val="0"/>
          <w:sz w:val="28"/>
          <w:szCs w:val="28"/>
          <w:lang w:val="zh-CN" w:bidi="ar"/>
        </w:rPr>
        <w:t>一、采购内容及参数</w:t>
      </w:r>
    </w:p>
    <w:tbl>
      <w:tblPr>
        <w:tblStyle w:val="10"/>
        <w:tblW w:w="4994" w:type="pct"/>
        <w:tblInd w:w="0" w:type="dxa"/>
        <w:tblLayout w:type="fixed"/>
        <w:tblCellMar>
          <w:top w:w="0" w:type="dxa"/>
          <w:left w:w="108" w:type="dxa"/>
          <w:bottom w:w="0" w:type="dxa"/>
          <w:right w:w="108" w:type="dxa"/>
        </w:tblCellMar>
      </w:tblPr>
      <w:tblGrid>
        <w:gridCol w:w="633"/>
        <w:gridCol w:w="2417"/>
        <w:gridCol w:w="636"/>
        <w:gridCol w:w="546"/>
        <w:gridCol w:w="3515"/>
        <w:gridCol w:w="1813"/>
      </w:tblGrid>
      <w:tr>
        <w:tblPrEx>
          <w:tblCellMar>
            <w:top w:w="0" w:type="dxa"/>
            <w:left w:w="108" w:type="dxa"/>
            <w:bottom w:w="0" w:type="dxa"/>
            <w:right w:w="108" w:type="dxa"/>
          </w:tblCellMar>
        </w:tblPrEx>
        <w:trPr>
          <w:trHeight w:val="560" w:hRule="atLeast"/>
        </w:trPr>
        <w:tc>
          <w:tcPr>
            <w:tcW w:w="3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kern w:val="0"/>
                <w:sz w:val="21"/>
                <w:szCs w:val="21"/>
                <w:lang w:eastAsia="zh-CN" w:bidi="ar"/>
              </w:rPr>
            </w:pPr>
            <w:r>
              <w:rPr>
                <w:rFonts w:hint="eastAsia" w:ascii="宋体" w:hAnsi="宋体" w:eastAsia="宋体" w:cs="宋体"/>
                <w:b/>
                <w:bCs/>
                <w:color w:val="000000"/>
                <w:kern w:val="0"/>
                <w:sz w:val="21"/>
                <w:szCs w:val="21"/>
                <w:lang w:eastAsia="zh-CN" w:bidi="ar"/>
              </w:rPr>
              <w:t>序号</w:t>
            </w:r>
          </w:p>
        </w:tc>
        <w:tc>
          <w:tcPr>
            <w:tcW w:w="12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名称</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单位</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数量</w:t>
            </w:r>
          </w:p>
        </w:tc>
        <w:tc>
          <w:tcPr>
            <w:tcW w:w="18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参数</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kern w:val="0"/>
                <w:sz w:val="21"/>
                <w:szCs w:val="21"/>
                <w:lang w:eastAsia="zh-CN" w:bidi="ar"/>
              </w:rPr>
            </w:pPr>
            <w:r>
              <w:rPr>
                <w:rFonts w:hint="eastAsia" w:ascii="宋体" w:hAnsi="宋体" w:eastAsia="宋体" w:cs="宋体"/>
                <w:b/>
                <w:bCs/>
                <w:color w:val="000000"/>
                <w:kern w:val="0"/>
                <w:sz w:val="21"/>
                <w:szCs w:val="21"/>
                <w:lang w:eastAsia="zh-CN" w:bidi="ar"/>
              </w:rPr>
              <w:t>备注</w:t>
            </w:r>
          </w:p>
        </w:tc>
      </w:tr>
      <w:tr>
        <w:tblPrEx>
          <w:tblCellMar>
            <w:top w:w="0" w:type="dxa"/>
            <w:left w:w="108" w:type="dxa"/>
            <w:bottom w:w="0" w:type="dxa"/>
            <w:right w:w="108" w:type="dxa"/>
          </w:tblCellMar>
        </w:tblPrEx>
        <w:trPr>
          <w:trHeight w:val="1280" w:hRule="atLeast"/>
        </w:trPr>
        <w:tc>
          <w:tcPr>
            <w:tcW w:w="3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w:t>
            </w:r>
          </w:p>
        </w:tc>
        <w:tc>
          <w:tcPr>
            <w:tcW w:w="1264"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腹泻症候群12种致病菌核酸检测试剂盒（荧光PCR法）</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人份</w:t>
            </w:r>
          </w:p>
        </w:tc>
        <w:tc>
          <w:tcPr>
            <w:tcW w:w="2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150</w:t>
            </w:r>
          </w:p>
        </w:tc>
        <w:tc>
          <w:tcPr>
            <w:tcW w:w="1838"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用于霍乱弧菌、副溶血弧菌、沙门菌、志贺菌、致泻性大肠杆菌、弯曲菌(空肠弯曲菌、结肠弯曲菌)、小肠结肠耶尔森菌、艰难梭菌、阪崎克罗诺杆菌、嗜水气单胞菌、类志贺邻单胞菌、河弧菌的核酸检测。</w:t>
            </w:r>
          </w:p>
        </w:tc>
        <w:tc>
          <w:tcPr>
            <w:tcW w:w="94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val="en-US" w:eastAsia="zh-CN" w:bidi="ar"/>
              </w:rPr>
              <w:t>1.</w:t>
            </w:r>
            <w:r>
              <w:rPr>
                <w:rFonts w:hint="eastAsia" w:ascii="仿宋" w:hAnsi="仿宋" w:eastAsia="仿宋" w:cs="仿宋"/>
                <w:color w:val="auto"/>
                <w:kern w:val="0"/>
                <w:sz w:val="21"/>
                <w:szCs w:val="21"/>
                <w:lang w:bidi="ar"/>
              </w:rPr>
              <w:t>腹泻症候群、呼吸道症候群、脑炎脑膜炎症候试剂需两种不同厂家的试剂分别各占50%；至少有一种试剂须在安徽省内医疗卫生系统中有不少于三家的供货业绩，需提供采购合同；</w:t>
            </w:r>
          </w:p>
          <w:p>
            <w:pPr>
              <w:widowControl/>
              <w:jc w:val="both"/>
              <w:textAlignment w:val="top"/>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val="en-US" w:eastAsia="zh-CN" w:bidi="ar"/>
              </w:rPr>
              <w:t>2.</w:t>
            </w:r>
            <w:r>
              <w:rPr>
                <w:rFonts w:hint="eastAsia" w:ascii="仿宋" w:hAnsi="仿宋" w:eastAsia="仿宋" w:cs="仿宋"/>
                <w:color w:val="auto"/>
                <w:kern w:val="0"/>
                <w:sz w:val="21"/>
                <w:szCs w:val="21"/>
                <w:lang w:bidi="ar"/>
              </w:rPr>
              <w:t>试剂适用于ABI系列QuantStudio™5、QuantStudio™7、QuantStudio™1Plus等荧光定量PCR扩增仪;</w:t>
            </w:r>
          </w:p>
          <w:p>
            <w:pPr>
              <w:widowControl/>
              <w:jc w:val="both"/>
              <w:textAlignment w:val="top"/>
              <w:rPr>
                <w:rFonts w:hint="eastAsia" w:ascii="仿宋" w:hAnsi="仿宋" w:eastAsia="仿宋" w:cs="仿宋"/>
                <w:color w:val="0000FF"/>
                <w:kern w:val="0"/>
                <w:sz w:val="21"/>
                <w:szCs w:val="21"/>
                <w:lang w:bidi="ar"/>
              </w:rPr>
            </w:pPr>
            <w:r>
              <w:rPr>
                <w:rFonts w:hint="eastAsia" w:ascii="仿宋" w:hAnsi="仿宋" w:eastAsia="仿宋" w:cs="仿宋"/>
                <w:color w:val="auto"/>
                <w:kern w:val="0"/>
                <w:sz w:val="21"/>
                <w:szCs w:val="21"/>
                <w:lang w:val="en-US" w:eastAsia="zh-CN" w:bidi="ar"/>
              </w:rPr>
              <w:t>3.</w:t>
            </w:r>
            <w:r>
              <w:rPr>
                <w:rFonts w:hint="eastAsia" w:ascii="仿宋" w:hAnsi="仿宋" w:eastAsia="仿宋" w:cs="仿宋"/>
                <w:color w:val="auto"/>
                <w:kern w:val="0"/>
                <w:sz w:val="21"/>
                <w:szCs w:val="21"/>
                <w:lang w:bidi="ar"/>
              </w:rPr>
              <w:t>检测通道为FAM、VIC、ROX、CY5。</w:t>
            </w:r>
          </w:p>
        </w:tc>
      </w:tr>
      <w:tr>
        <w:tblPrEx>
          <w:tblCellMar>
            <w:top w:w="0" w:type="dxa"/>
            <w:left w:w="108" w:type="dxa"/>
            <w:bottom w:w="0" w:type="dxa"/>
            <w:right w:w="108" w:type="dxa"/>
          </w:tblCellMar>
        </w:tblPrEx>
        <w:trPr>
          <w:trHeight w:val="1100" w:hRule="atLeast"/>
        </w:trPr>
        <w:tc>
          <w:tcPr>
            <w:tcW w:w="3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w:t>
            </w:r>
          </w:p>
        </w:tc>
        <w:tc>
          <w:tcPr>
            <w:tcW w:w="1264"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呼吸道症候群12种致病菌核酸检测试剂盒（荧光PCR法）</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人份</w:t>
            </w:r>
          </w:p>
        </w:tc>
        <w:tc>
          <w:tcPr>
            <w:tcW w:w="2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150</w:t>
            </w:r>
          </w:p>
        </w:tc>
        <w:tc>
          <w:tcPr>
            <w:tcW w:w="1838"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用于肺炎链球菌、流感嗜血杆菌、百日咳鲍特菌、A族链球菌、肺炎克雷伯菌、肺炎支原体、肺炎衣原体、鹦鹉热衣原体、军团菌、隐球菌、曲霉菌、肺孢子菌的核酸检测。</w:t>
            </w:r>
          </w:p>
        </w:tc>
        <w:tc>
          <w:tcPr>
            <w:tcW w:w="948" w:type="pct"/>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864" w:hRule="atLeast"/>
        </w:trPr>
        <w:tc>
          <w:tcPr>
            <w:tcW w:w="3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w:t>
            </w:r>
          </w:p>
        </w:tc>
        <w:tc>
          <w:tcPr>
            <w:tcW w:w="1264"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脑炎脑膜炎症候群11种致病菌核酸检测试剂盒（荧光PCR法）</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人份</w:t>
            </w:r>
          </w:p>
        </w:tc>
        <w:tc>
          <w:tcPr>
            <w:tcW w:w="2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100</w:t>
            </w:r>
          </w:p>
        </w:tc>
        <w:tc>
          <w:tcPr>
            <w:tcW w:w="1838"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用于脑膜炎奈瑟菌、流感嗜血杆菌、肺炎链球菌、A族链球菌、大肠杆菌、金黄色葡萄球菌、单增李斯特菌、无乳链球菌、猪链球菌、结核分枝杆菌、隐球菌的核酸检测。</w:t>
            </w:r>
          </w:p>
        </w:tc>
        <w:tc>
          <w:tcPr>
            <w:tcW w:w="948" w:type="pct"/>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1152" w:hRule="atLeast"/>
        </w:trPr>
        <w:tc>
          <w:tcPr>
            <w:tcW w:w="3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4</w:t>
            </w:r>
          </w:p>
        </w:tc>
        <w:tc>
          <w:tcPr>
            <w:tcW w:w="1264"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其他发热症候群15种致病菌核酸检测试剂盒（荧光PCR法）</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人份</w:t>
            </w:r>
          </w:p>
        </w:tc>
        <w:tc>
          <w:tcPr>
            <w:tcW w:w="2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50</w:t>
            </w:r>
          </w:p>
        </w:tc>
        <w:tc>
          <w:tcPr>
            <w:tcW w:w="1838"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用于伤寒/副伤寒沙门菌、脑膜炎奈瑟菌、A族链球菌、伯氏疏螺旋体、立克次体、无形体、埃立克体、钩端螺旋体、猪链球菌、鼠疫耶尔森菌、布鲁氏菌、隐球菌、曲霉菌、肺孢子菌的核酸检测。</w:t>
            </w:r>
          </w:p>
        </w:tc>
        <w:tc>
          <w:tcPr>
            <w:tcW w:w="948" w:type="pct"/>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740" w:hRule="atLeast"/>
        </w:trPr>
        <w:tc>
          <w:tcPr>
            <w:tcW w:w="3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5</w:t>
            </w:r>
          </w:p>
        </w:tc>
        <w:tc>
          <w:tcPr>
            <w:tcW w:w="1264"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核酸提取或者纯化试剂（细菌DNA提取试剂盒）</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人份</w:t>
            </w:r>
          </w:p>
        </w:tc>
        <w:tc>
          <w:tcPr>
            <w:tcW w:w="2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480</w:t>
            </w:r>
          </w:p>
        </w:tc>
        <w:tc>
          <w:tcPr>
            <w:tcW w:w="2786"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both"/>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试剂适用于硕世提取仪（SSNP-9600A）</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36"/>
          <w:lang w:val="zh-CN"/>
        </w:rPr>
      </w:pPr>
      <w:r>
        <w:rPr>
          <w:rFonts w:hint="eastAsia" w:ascii="黑体" w:hAnsi="黑体" w:eastAsia="黑体" w:cs="黑体"/>
          <w:sz w:val="28"/>
          <w:szCs w:val="36"/>
          <w:lang w:val="zh-CN"/>
        </w:rPr>
        <w:t>二、采购商务要求</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36"/>
        </w:rPr>
      </w:pPr>
      <w:bookmarkStart w:id="0" w:name="_Toc24273"/>
      <w:r>
        <w:rPr>
          <w:rFonts w:hint="eastAsia" w:ascii="仿宋" w:hAnsi="仿宋" w:eastAsia="仿宋" w:cs="仿宋"/>
          <w:b/>
          <w:bCs/>
          <w:sz w:val="28"/>
          <w:szCs w:val="36"/>
        </w:rPr>
        <w:t>（一）报价要求：</w:t>
      </w:r>
      <w:r>
        <w:rPr>
          <w:rFonts w:hint="eastAsia" w:ascii="仿宋" w:hAnsi="仿宋" w:eastAsia="仿宋" w:cs="仿宋"/>
          <w:sz w:val="28"/>
          <w:szCs w:val="36"/>
        </w:rPr>
        <w:t>供应商的报价应包括：人员费用、运输费用、设备费、管理费及税金等为完成询价文件规定全部内容所需的一切应有费用。</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36"/>
          <w:lang w:val="zh-CN"/>
        </w:rPr>
      </w:pPr>
      <w:r>
        <w:rPr>
          <w:rFonts w:hint="eastAsia" w:ascii="仿宋" w:hAnsi="仿宋" w:eastAsia="仿宋" w:cs="仿宋"/>
          <w:b/>
          <w:bCs/>
          <w:sz w:val="28"/>
          <w:szCs w:val="36"/>
        </w:rPr>
        <w:t>（二）交货地点：</w:t>
      </w:r>
      <w:r>
        <w:rPr>
          <w:rFonts w:hint="eastAsia" w:ascii="仿宋" w:hAnsi="仿宋" w:eastAsia="仿宋" w:cs="仿宋"/>
          <w:sz w:val="28"/>
          <w:szCs w:val="36"/>
        </w:rPr>
        <w:t>采购人指定地点</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36"/>
        </w:rPr>
      </w:pPr>
      <w:r>
        <w:rPr>
          <w:rFonts w:hint="eastAsia" w:ascii="仿宋" w:hAnsi="仿宋" w:eastAsia="仿宋" w:cs="仿宋"/>
          <w:b/>
          <w:bCs/>
          <w:sz w:val="28"/>
          <w:szCs w:val="36"/>
        </w:rPr>
        <w:t>（三）售后服务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1.售后服务：依据商品的保修条款及售后服务条款，提供原厂质保，质保期按照国家规定，且不低于所供品牌向用户承诺的质保期限。询价文件另有约定的从其约定。质保期从货物验收合格后算起。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2.供货要求：供应商成交以后，按相关要求、期限及业主要求供货，否则，采购人有权解除合同，由此造成的全部损失，由成交供应商全部承担。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36"/>
          <w:lang w:val="zh-CN"/>
        </w:rPr>
      </w:pPr>
      <w:r>
        <w:rPr>
          <w:rFonts w:hint="eastAsia" w:ascii="仿宋" w:hAnsi="仿宋" w:eastAsia="仿宋" w:cs="仿宋"/>
          <w:sz w:val="28"/>
          <w:szCs w:val="36"/>
        </w:rPr>
        <w:t>3.</w:t>
      </w:r>
      <w:r>
        <w:rPr>
          <w:rFonts w:hint="eastAsia" w:ascii="仿宋" w:hAnsi="仿宋" w:eastAsia="仿宋" w:cs="仿宋"/>
          <w:sz w:val="28"/>
          <w:szCs w:val="36"/>
          <w:lang w:val="zh-CN"/>
        </w:rPr>
        <w:t>报价方对提供的货物在质保期内，因产品质量而导致的缺陷，必须免费提供包换、包退服务。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36"/>
        </w:rPr>
      </w:pPr>
      <w:r>
        <w:rPr>
          <w:rFonts w:hint="eastAsia" w:ascii="仿宋" w:hAnsi="仿宋" w:eastAsia="仿宋" w:cs="仿宋"/>
          <w:b/>
          <w:bCs/>
          <w:sz w:val="28"/>
          <w:szCs w:val="36"/>
        </w:rPr>
        <w:t>（四）付款及结算方式：</w:t>
      </w:r>
      <w:r>
        <w:rPr>
          <w:rFonts w:hint="eastAsia" w:ascii="仿宋" w:hAnsi="仿宋" w:eastAsia="仿宋" w:cs="仿宋"/>
          <w:sz w:val="28"/>
          <w:szCs w:val="36"/>
        </w:rPr>
        <w:t>验收合格</w:t>
      </w:r>
      <w:r>
        <w:rPr>
          <w:rFonts w:hint="eastAsia" w:ascii="仿宋" w:hAnsi="仿宋" w:eastAsia="仿宋" w:cs="仿宋"/>
          <w:sz w:val="28"/>
          <w:szCs w:val="36"/>
          <w:lang w:val="zh-CN"/>
        </w:rPr>
        <w:t>后，成交供应商按采购人要求凭国家正式发票及相关证明文件向采购人申请付款，采购人收到申请后在</w:t>
      </w:r>
      <w:r>
        <w:rPr>
          <w:rFonts w:hint="eastAsia" w:ascii="仿宋" w:hAnsi="仿宋" w:eastAsia="仿宋" w:cs="仿宋"/>
          <w:sz w:val="28"/>
          <w:szCs w:val="36"/>
        </w:rPr>
        <w:t>15</w:t>
      </w:r>
      <w:r>
        <w:rPr>
          <w:rFonts w:hint="eastAsia" w:ascii="仿宋" w:hAnsi="仿宋" w:eastAsia="仿宋" w:cs="仿宋"/>
          <w:sz w:val="28"/>
          <w:szCs w:val="36"/>
          <w:lang w:val="zh-CN"/>
        </w:rPr>
        <w:t>个工作日内结清全部货款。</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36"/>
        </w:rPr>
      </w:pPr>
      <w:r>
        <w:rPr>
          <w:rFonts w:hint="eastAsia" w:ascii="仿宋" w:hAnsi="仿宋" w:eastAsia="仿宋" w:cs="仿宋"/>
          <w:b/>
          <w:bCs/>
          <w:sz w:val="28"/>
          <w:szCs w:val="36"/>
        </w:rPr>
        <w:t>（五）投标供应商自愿进行踏勘项目现场以获取编制报价文件和供货、安装运输所需的一切相关材料，如投标供应商因未及时踏勘现场而导致的报价缺项漏项或成交后无法供货、服务，投标供应商自行承担一切后果。供应商在踏勘现场中获悉的项目场地和相关的周边环境情况，供应商在编制报价文件时参考，采购人不对供应商据此作出的判断和决策负责，供应商自行负责在踏勘现场中所发生的人员伤亡和财产损失，供应商在踏勘现场发生的费用自理，在现场踏勘完成后不得无故停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36"/>
        </w:rPr>
      </w:pPr>
      <w:r>
        <w:rPr>
          <w:rFonts w:hint="eastAsia" w:ascii="仿宋" w:hAnsi="仿宋" w:eastAsia="仿宋" w:cs="仿宋"/>
          <w:b/>
          <w:bCs/>
          <w:sz w:val="28"/>
          <w:szCs w:val="36"/>
        </w:rPr>
        <w:t>（六）验收方法及标准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按照签订的采购合同、技术要求及标准对每一环节、标准的履约情况进行验收。验收结束后，应当出具验收书，由双方共同签署。</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36"/>
        </w:rPr>
      </w:pPr>
      <w:r>
        <w:rPr>
          <w:rFonts w:hint="eastAsia" w:ascii="仿宋" w:hAnsi="仿宋" w:eastAsia="仿宋" w:cs="仿宋"/>
          <w:b/>
          <w:bCs/>
          <w:sz w:val="28"/>
          <w:szCs w:val="36"/>
        </w:rPr>
        <w:t>（七）其它说明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为鼓励不同品牌的充分竞争，如某设备的某技术参数或要求属于个别品牌专有，则该技术参数及要求不具有限制性，供应商可对该参数或要求进行适当调整，但这种调整整体上要优于或相当于询价文件的相关要求，并说明调整理由，且该调整须经询价小组审核认可。成交人提供的货物为进口产品的，供货时须向采购人提供所投进口产品的海关报关单等证明材料。原装进口的产品，如国内产品满足需求也可参与采购竞争。上述采购内容中部分参数注明了参考品牌，非特定该品牌，仅供供应商参考，供应商可对该参数或要求进行适当调整，但这种调整整体上要优于或相当于询价文件的相关要求。</w:t>
      </w:r>
      <w:bookmarkEnd w:id="0"/>
    </w:p>
    <w:p/>
    <w:sectPr>
      <w:pgSz w:w="11906" w:h="16838"/>
      <w:pgMar w:top="1417"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YjkwYzhkYmQ4YmQ3ZjI4Y2E0NzJlYjE3YjNjMDAifQ=="/>
  </w:docVars>
  <w:rsids>
    <w:rsidRoot w:val="443C0E03"/>
    <w:rsid w:val="443C0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left="420" w:firstLine="420" w:firstLineChars="200"/>
    </w:pPr>
  </w:style>
  <w:style w:type="paragraph" w:styleId="3">
    <w:name w:val="Body Text Indent"/>
    <w:basedOn w:val="1"/>
    <w:next w:val="4"/>
    <w:qFormat/>
    <w:uiPriority w:val="0"/>
    <w:pPr>
      <w:ind w:firstLine="630"/>
    </w:pPr>
    <w:rPr>
      <w:rFonts w:eastAsia="仿宋_GB2312"/>
      <w:sz w:val="28"/>
      <w:szCs w:val="20"/>
    </w:rPr>
  </w:style>
  <w:style w:type="paragraph" w:styleId="4">
    <w:name w:val="envelope return"/>
    <w:basedOn w:val="1"/>
    <w:qFormat/>
    <w:uiPriority w:val="0"/>
    <w:pPr>
      <w:snapToGrid w:val="0"/>
    </w:pPr>
    <w:rPr>
      <w:rFonts w:ascii="Arial" w:hAnsi="Arial"/>
    </w:rPr>
  </w:style>
  <w:style w:type="paragraph" w:styleId="5">
    <w:name w:val="Body Text First Indent"/>
    <w:basedOn w:val="6"/>
    <w:next w:val="8"/>
    <w:unhideWhenUsed/>
    <w:qFormat/>
    <w:uiPriority w:val="99"/>
    <w:pPr>
      <w:spacing w:after="120"/>
      <w:ind w:firstLine="420" w:firstLineChars="100"/>
    </w:pPr>
    <w:rPr>
      <w:sz w:val="21"/>
    </w:rPr>
  </w:style>
  <w:style w:type="paragraph" w:styleId="6">
    <w:name w:val="Body Text"/>
    <w:basedOn w:val="1"/>
    <w:next w:val="7"/>
    <w:qFormat/>
    <w:uiPriority w:val="0"/>
    <w:pPr>
      <w:spacing w:after="120"/>
    </w:pPr>
  </w:style>
  <w:style w:type="paragraph" w:styleId="7">
    <w:name w:val="Date"/>
    <w:basedOn w:val="1"/>
    <w:next w:val="1"/>
    <w:qFormat/>
    <w:uiPriority w:val="0"/>
    <w:rPr>
      <w:b/>
      <w:sz w:val="28"/>
    </w:rPr>
  </w:style>
  <w:style w:type="paragraph" w:styleId="8">
    <w:name w:val="toc 6"/>
    <w:basedOn w:val="1"/>
    <w:next w:val="1"/>
    <w:qFormat/>
    <w:uiPriority w:val="0"/>
    <w:pPr>
      <w:ind w:left="1050"/>
      <w:jc w:val="left"/>
    </w:pPr>
    <w:rPr>
      <w:rFonts w:ascii="Calibri" w:hAnsi="Calibri" w:eastAsia="宋体" w:cs="Times New Roman"/>
      <w:sz w:val="18"/>
      <w:szCs w:val="18"/>
    </w:rPr>
  </w:style>
  <w:style w:type="paragraph" w:styleId="9">
    <w:name w:val="Plain Text"/>
    <w:basedOn w:val="1"/>
    <w:next w:val="1"/>
    <w:qFormat/>
    <w:uiPriority w:val="0"/>
    <w:rPr>
      <w:rFonts w:ascii="宋体" w:hAnsi="Courier New"/>
      <w:szCs w:val="20"/>
    </w:rPr>
  </w:style>
  <w:style w:type="paragraph" w:customStyle="1" w:styleId="12">
    <w:name w:val="模板普通正文"/>
    <w:basedOn w:val="3"/>
    <w:autoRedefine/>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2024-06-06T08:01:00Z</dcterms:created>
  <dc:creator>爱意</dc:creator>
  <cp:lastModifiedBy>爱意</cp:lastModifiedBy>
  <dcterms:modified xsi:type="dcterms:W3CDTF">2024-06-06T08:02:32Z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0079610795B84454A8B2CE3CCE98E3F6_11</vt:lpwstr>
  </property>
</Properties>
</file>