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shd w:val="clear"/>
        <w:kinsoku/>
        <w:overflowPunct/>
        <w:topLinePunct w:val="0"/>
        <w:bidi w:val="0"/>
        <w:snapToGrid w:val="0"/>
        <w:spacing w:line="520" w:lineRule="exact"/>
        <w:rPr>
          <w:rFonts w:hint="eastAsia" w:eastAsia="宋体" w:cs="Times New Roman"/>
          <w:b/>
          <w:bCs/>
          <w:color w:val="auto"/>
          <w:highlight w:val="none"/>
          <w:lang w:eastAsia="zh-CN"/>
        </w:rPr>
      </w:pPr>
      <w:r>
        <w:rPr>
          <w:rFonts w:hint="eastAsia" w:ascii="宋体" w:hAnsi="宋体" w:cs="宋体"/>
          <w:b/>
          <w:bCs/>
          <w:color w:val="auto"/>
          <w:highlight w:val="none"/>
        </w:rPr>
        <w:t>第四章</w:t>
      </w:r>
      <w:r>
        <w:rPr>
          <w:rFonts w:hint="eastAsia" w:ascii="宋体" w:hAnsi="宋体" w:cs="宋体"/>
          <w:b/>
          <w:bCs/>
          <w:color w:val="auto"/>
          <w:highlight w:val="none"/>
          <w:lang w:val="en-US" w:eastAsia="zh-CN"/>
        </w:rPr>
        <w:t xml:space="preserve">  </w:t>
      </w:r>
      <w:r>
        <w:rPr>
          <w:rFonts w:hint="eastAsia" w:cs="宋体"/>
          <w:b/>
          <w:bCs/>
          <w:color w:val="auto"/>
          <w:highlight w:val="none"/>
        </w:rPr>
        <w:t>项目需求</w:t>
      </w:r>
      <w:r>
        <w:rPr>
          <w:rFonts w:hint="eastAsia" w:cs="宋体"/>
          <w:b/>
          <w:bCs/>
          <w:color w:val="auto"/>
          <w:highlight w:val="none"/>
          <w:lang w:eastAsia="zh-CN"/>
        </w:rPr>
        <w:t>及技术参数</w:t>
      </w:r>
    </w:p>
    <w:p>
      <w:pPr>
        <w:pStyle w:val="8"/>
        <w:pageBreakBefore w:val="0"/>
        <w:shd w:val="clear"/>
        <w:kinsoku/>
        <w:wordWrap w:val="0"/>
        <w:overflowPunct/>
        <w:topLinePunct w:val="0"/>
        <w:bidi w:val="0"/>
        <w:adjustRightInd/>
        <w:spacing w:line="520" w:lineRule="exact"/>
        <w:ind w:firstLine="560" w:firstLineChars="200"/>
        <w:jc w:val="both"/>
        <w:rPr>
          <w:rFonts w:cs="Times New Roman"/>
          <w:color w:val="auto"/>
          <w:sz w:val="28"/>
          <w:szCs w:val="28"/>
          <w:highlight w:val="none"/>
        </w:rPr>
      </w:pPr>
      <w:bookmarkStart w:id="19" w:name="_GoBack"/>
      <w:bookmarkEnd w:id="19"/>
    </w:p>
    <w:p>
      <w:pPr>
        <w:pStyle w:val="8"/>
        <w:keepNext w:val="0"/>
        <w:keepLines w:val="0"/>
        <w:pageBreakBefore w:val="0"/>
        <w:widowControl w:val="0"/>
        <w:shd w:val="clear"/>
        <w:kinsoku/>
        <w:wordWrap/>
        <w:overflowPunct/>
        <w:topLinePunct w:val="0"/>
        <w:autoSpaceDE w:val="0"/>
        <w:autoSpaceDN w:val="0"/>
        <w:bidi w:val="0"/>
        <w:adjustRightInd/>
        <w:snapToGrid/>
        <w:spacing w:line="520" w:lineRule="exact"/>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w:t>
      </w:r>
    </w:p>
    <w:p>
      <w:pPr>
        <w:pStyle w:val="8"/>
        <w:keepNext w:val="0"/>
        <w:keepLines w:val="0"/>
        <w:pageBreakBefore w:val="0"/>
        <w:widowControl w:val="0"/>
        <w:numPr>
          <w:ilvl w:val="0"/>
          <w:numId w:val="0"/>
        </w:numPr>
        <w:shd w:val="clear"/>
        <w:kinsoku/>
        <w:wordWrap/>
        <w:overflowPunct/>
        <w:topLinePunct w:val="0"/>
        <w:autoSpaceDE w:val="0"/>
        <w:autoSpaceDN w:val="0"/>
        <w:bidi w:val="0"/>
        <w:adjustRightInd/>
        <w:snapToGrid/>
        <w:spacing w:line="520" w:lineRule="exact"/>
        <w:ind w:left="420" w:leftChars="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如本章内容与其他章节有冲突，以本章内容为准。</w:t>
      </w:r>
    </w:p>
    <w:p>
      <w:pPr>
        <w:pStyle w:val="8"/>
        <w:keepNext w:val="0"/>
        <w:keepLines w:val="0"/>
        <w:pageBreakBefore w:val="0"/>
        <w:widowControl w:val="0"/>
        <w:numPr>
          <w:ilvl w:val="0"/>
          <w:numId w:val="0"/>
        </w:numPr>
        <w:shd w:val="clear"/>
        <w:kinsoku/>
        <w:wordWrap/>
        <w:overflowPunct/>
        <w:topLinePunct w:val="0"/>
        <w:autoSpaceDE w:val="0"/>
        <w:autoSpaceDN w:val="0"/>
        <w:bidi w:val="0"/>
        <w:adjustRightInd/>
        <w:snapToGrid/>
        <w:spacing w:line="520" w:lineRule="exact"/>
        <w:ind w:left="420" w:leftChars="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如本章内容与国家法律法规相冲突的，以相关法律法规为准。</w:t>
      </w:r>
    </w:p>
    <w:p>
      <w:pPr>
        <w:pStyle w:val="8"/>
        <w:keepNext w:val="0"/>
        <w:keepLines w:val="0"/>
        <w:pageBreakBefore w:val="0"/>
        <w:widowControl w:val="0"/>
        <w:numPr>
          <w:ilvl w:val="0"/>
          <w:numId w:val="0"/>
        </w:numPr>
        <w:shd w:val="clear"/>
        <w:kinsoku/>
        <w:wordWrap/>
        <w:overflowPunct/>
        <w:topLinePunct w:val="0"/>
        <w:autoSpaceDE w:val="0"/>
        <w:autoSpaceDN w:val="0"/>
        <w:bidi w:val="0"/>
        <w:adjustRightInd/>
        <w:snapToGrid/>
        <w:spacing w:line="520" w:lineRule="exact"/>
        <w:ind w:left="420" w:leftChars="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如本章内容与国家、地方强制标准相冲突的，以强制标准为准。</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一、</w:t>
      </w:r>
      <w:r>
        <w:rPr>
          <w:rFonts w:hint="eastAsia" w:ascii="黑体" w:hAnsi="黑体" w:eastAsia="黑体" w:cs="黑体"/>
          <w:b w:val="0"/>
          <w:bCs w:val="0"/>
          <w:sz w:val="30"/>
          <w:szCs w:val="30"/>
        </w:rPr>
        <w:t>产品质量标准及安装要求</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供应商提供的全彩LED屏单元板及箱体产品必须采用列举的推荐品牌。</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色彩还原性要保证显示屏显示的色彩与播放源的色彩保持高度一致，确保图像的真实感。</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相邻模组之间无较明显色差，颜色过渡自然。</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供货单位负责整套设备的运输、安装、调试等，确保设备正常运行。</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以上未涉及到的技术质量要求，以当前最新的行业技术标准为准。</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所选设备必须符合国家相关质量标准要求；</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所选设备必须满足采购人的功能要求；</w:t>
      </w:r>
    </w:p>
    <w:p>
      <w:pPr>
        <w:keepNext w:val="0"/>
        <w:keepLines w:val="0"/>
        <w:pageBreakBefore w:val="0"/>
        <w:widowControl/>
        <w:kinsoku/>
        <w:wordWrap/>
        <w:overflowPunct/>
        <w:topLinePunct w:val="0"/>
        <w:autoSpaceDE/>
        <w:autoSpaceDN/>
        <w:bidi w:val="0"/>
        <w:adjustRightInd/>
        <w:snapToGrid/>
        <w:spacing w:line="480" w:lineRule="exact"/>
        <w:ind w:firstLine="602" w:firstLineChars="200"/>
        <w:jc w:val="left"/>
        <w:textAlignment w:val="auto"/>
        <w:outlineLvl w:val="1"/>
        <w:rPr>
          <w:rFonts w:hint="eastAsia" w:ascii="仿宋" w:hAnsi="仿宋" w:eastAsia="仿宋"/>
          <w:b/>
          <w:bCs/>
          <w:sz w:val="30"/>
          <w:szCs w:val="30"/>
        </w:rPr>
      </w:pPr>
      <w:bookmarkStart w:id="0" w:name="_Toc27393"/>
      <w:r>
        <w:rPr>
          <w:rFonts w:hint="eastAsia" w:ascii="仿宋" w:hAnsi="仿宋" w:eastAsia="仿宋"/>
          <w:b/>
          <w:bCs/>
          <w:sz w:val="30"/>
          <w:szCs w:val="30"/>
          <w:lang w:eastAsia="zh-CN"/>
        </w:rPr>
        <w:t>二、</w:t>
      </w:r>
      <w:r>
        <w:rPr>
          <w:rFonts w:hint="eastAsia" w:ascii="仿宋" w:hAnsi="仿宋" w:eastAsia="仿宋"/>
          <w:b/>
          <w:bCs/>
          <w:sz w:val="30"/>
          <w:szCs w:val="30"/>
        </w:rPr>
        <w:t>售后服务</w:t>
      </w:r>
      <w:bookmarkEnd w:id="0"/>
      <w:bookmarkStart w:id="1" w:name="_Toc282595684"/>
    </w:p>
    <w:bookmarkEnd w:id="1"/>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培训系统操作员，通过培训使其熟练掌握操作系统，并能处理一些基本故障。培训内容包括：</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val="en-US" w:eastAsia="zh-CN"/>
        </w:rPr>
        <w:t>1.1</w:t>
      </w:r>
      <w:r>
        <w:rPr>
          <w:rFonts w:hint="eastAsia" w:ascii="仿宋" w:hAnsi="仿宋" w:eastAsia="仿宋"/>
          <w:sz w:val="30"/>
          <w:szCs w:val="30"/>
        </w:rPr>
        <w:t>现场注意事项；</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rPr>
        <w:t>1.2系统控制器及显示屏的操作，控制主机及辅助系统的操作</w:t>
      </w:r>
      <w:r>
        <w:rPr>
          <w:rFonts w:hint="eastAsia" w:ascii="仿宋" w:hAnsi="仿宋" w:eastAsia="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1.3显示软件及相关的应用软件的安装、维护、日常操作；</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1.4 LED显示屏日常管理、常见故障诊断和维修方法；</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1.5其他附属设备的操作培训。</w:t>
      </w:r>
      <w:bookmarkStart w:id="2" w:name="_Toc282595685"/>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rPr>
      </w:pPr>
      <w:r>
        <w:rPr>
          <w:rFonts w:hint="eastAsia" w:ascii="仿宋" w:hAnsi="仿宋" w:eastAsia="仿宋"/>
          <w:sz w:val="30"/>
          <w:szCs w:val="30"/>
          <w:lang w:val="en-US" w:eastAsia="zh-CN"/>
        </w:rPr>
        <w:t>2.</w:t>
      </w:r>
      <w:r>
        <w:rPr>
          <w:rFonts w:hint="eastAsia" w:ascii="仿宋" w:hAnsi="仿宋" w:eastAsia="仿宋"/>
          <w:sz w:val="30"/>
          <w:szCs w:val="30"/>
        </w:rPr>
        <w:t>质量保证</w:t>
      </w:r>
      <w:bookmarkEnd w:id="2"/>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2.1质量保修期自项目竣工后验收合格日算起。针对本项目提供非人为贰年全免费质保，且提供“三包服务”。</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2.2三包期间，用户在正常使用时，由于显示屏所选用的元件及其配套设备的质量问题造成的显示屏损坏，由成交供应商承担全部经济责任；</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2.3成交供应商应对产品的故障进行24小时响应服务，产品出现故障时，必须2小时内响应到场。</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bookmarkStart w:id="3" w:name="_Toc484827188"/>
      <w:bookmarkStart w:id="4" w:name="_Toc484848533"/>
      <w:bookmarkStart w:id="5" w:name="_Toc282595688"/>
      <w:bookmarkStart w:id="6" w:name="_Toc485037515"/>
      <w:bookmarkStart w:id="7" w:name="_Toc490911365"/>
      <w:bookmarkStart w:id="8" w:name="_Toc494963183"/>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测试和验收</w:t>
      </w:r>
      <w:bookmarkEnd w:id="3"/>
      <w:bookmarkEnd w:id="4"/>
      <w:bookmarkEnd w:id="5"/>
      <w:bookmarkEnd w:id="6"/>
      <w:bookmarkEnd w:id="7"/>
      <w:bookmarkEnd w:id="8"/>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3.1供应商应根据所提交的实施办法，自行组织设备和人员，并在使用单位监督下现场进行测试和验收。</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bookmarkStart w:id="9" w:name="_Toc485037516"/>
      <w:bookmarkStart w:id="10" w:name="_Toc484827189"/>
      <w:bookmarkStart w:id="11" w:name="_Toc484848534"/>
      <w:bookmarkStart w:id="12" w:name="_Toc494963184"/>
      <w:bookmarkStart w:id="13" w:name="_Toc490911366"/>
      <w:r>
        <w:rPr>
          <w:rFonts w:hint="eastAsia" w:ascii="仿宋" w:hAnsi="仿宋" w:eastAsia="仿宋"/>
          <w:sz w:val="30"/>
          <w:szCs w:val="30"/>
        </w:rPr>
        <w:t>3.2系统安装完成后，按照系统要求的基本功能逐一测试。</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（1）安装完成后，由供应商进行产品自身性能的测试。设备通电自检正常后，才能交付使用。</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（2）系统测试中发现设备性能指标或功能上不符合标书和合同时，将被看作性能不合格，采购人有权拒收并要求赔偿</w:t>
      </w:r>
      <w:bookmarkEnd w:id="9"/>
      <w:bookmarkEnd w:id="10"/>
      <w:bookmarkEnd w:id="11"/>
      <w:bookmarkEnd w:id="12"/>
      <w:bookmarkEnd w:id="13"/>
      <w:bookmarkStart w:id="14" w:name="_Toc484827190"/>
      <w:bookmarkStart w:id="15" w:name="_Toc490911367"/>
      <w:bookmarkStart w:id="16" w:name="_Toc485037517"/>
      <w:bookmarkStart w:id="17" w:name="_Toc484848535"/>
      <w:r>
        <w:rPr>
          <w:rFonts w:hint="eastAsia" w:ascii="仿宋" w:hAnsi="仿宋" w:eastAsia="仿宋"/>
          <w:sz w:val="30"/>
          <w:szCs w:val="30"/>
        </w:rPr>
        <w:t>。</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sz w:val="30"/>
          <w:szCs w:val="30"/>
        </w:rPr>
      </w:pPr>
      <w:bookmarkStart w:id="18" w:name="_Toc494963185"/>
      <w:r>
        <w:rPr>
          <w:rFonts w:hint="eastAsia" w:ascii="仿宋" w:hAnsi="仿宋" w:eastAsia="仿宋"/>
          <w:sz w:val="30"/>
          <w:szCs w:val="30"/>
        </w:rPr>
        <w:t>3.</w:t>
      </w:r>
      <w:r>
        <w:rPr>
          <w:rFonts w:hint="eastAsia" w:ascii="仿宋" w:hAnsi="仿宋" w:eastAsia="仿宋"/>
          <w:sz w:val="30"/>
          <w:szCs w:val="30"/>
          <w:lang w:val="en-US" w:eastAsia="zh-CN"/>
        </w:rPr>
        <w:t>2</w:t>
      </w:r>
      <w:r>
        <w:rPr>
          <w:rFonts w:hint="eastAsia" w:ascii="仿宋" w:hAnsi="仿宋" w:eastAsia="仿宋"/>
          <w:sz w:val="30"/>
          <w:szCs w:val="30"/>
        </w:rPr>
        <w:t>产品验收要求</w:t>
      </w:r>
      <w:bookmarkEnd w:id="14"/>
      <w:bookmarkEnd w:id="15"/>
      <w:bookmarkEnd w:id="16"/>
      <w:bookmarkEnd w:id="17"/>
      <w:bookmarkEnd w:id="18"/>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default" w:ascii="仿宋" w:hAnsi="仿宋" w:eastAsia="仿宋"/>
          <w:sz w:val="30"/>
          <w:szCs w:val="30"/>
          <w:lang w:val="en-US" w:eastAsia="zh-CN"/>
        </w:rPr>
      </w:pPr>
      <w:r>
        <w:rPr>
          <w:rFonts w:hint="eastAsia" w:ascii="仿宋" w:hAnsi="仿宋" w:eastAsia="仿宋"/>
          <w:sz w:val="30"/>
          <w:szCs w:val="30"/>
        </w:rPr>
        <w:t>（1）要求对全部设备、产品、型号、规格、数量、外型、外观、包装及资料的验收。</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color w:val="auto"/>
          <w:sz w:val="28"/>
          <w:szCs w:val="28"/>
          <w:highlight w:val="none"/>
          <w:lang w:val="en-US" w:eastAsia="zh-CN"/>
        </w:rPr>
      </w:pPr>
      <w:r>
        <w:rPr>
          <w:rFonts w:hint="eastAsia" w:ascii="仿宋" w:hAnsi="仿宋" w:eastAsia="仿宋"/>
          <w:sz w:val="30"/>
          <w:szCs w:val="30"/>
        </w:rPr>
        <w:t>（2）供应商应负责在项目验收时将全部有关产品说明书、原厂家安装手册、技术文件、资料及安装、验收报告等文档汇集成册交付采购人。</w:t>
      </w:r>
    </w:p>
    <w:p>
      <w:pPr>
        <w:keepNext w:val="0"/>
        <w:keepLines w:val="0"/>
        <w:pageBreakBefore w:val="0"/>
        <w:widowControl/>
        <w:kinsoku/>
        <w:wordWrap/>
        <w:overflowPunct/>
        <w:topLinePunct w:val="0"/>
        <w:autoSpaceDE/>
        <w:autoSpaceDN/>
        <w:bidi w:val="0"/>
        <w:adjustRightInd/>
        <w:snapToGrid/>
        <w:spacing w:line="480" w:lineRule="exact"/>
        <w:ind w:firstLine="602" w:firstLineChars="200"/>
        <w:jc w:val="left"/>
        <w:textAlignment w:val="auto"/>
        <w:outlineLvl w:val="1"/>
        <w:rPr>
          <w:rFonts w:hint="eastAsia" w:ascii="仿宋" w:hAnsi="仿宋" w:eastAsia="仿宋"/>
          <w:b/>
          <w:bCs/>
          <w:sz w:val="30"/>
          <w:szCs w:val="30"/>
          <w:lang w:eastAsia="zh-CN"/>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仿宋" w:hAnsi="仿宋" w:eastAsia="仿宋"/>
          <w:b/>
          <w:bCs/>
          <w:sz w:val="30"/>
          <w:szCs w:val="30"/>
        </w:rPr>
      </w:pPr>
      <w:r>
        <w:rPr>
          <w:rFonts w:hint="eastAsia" w:ascii="仿宋" w:hAnsi="仿宋" w:eastAsia="仿宋"/>
          <w:b/>
          <w:bCs/>
          <w:sz w:val="30"/>
          <w:szCs w:val="30"/>
          <w:lang w:eastAsia="zh-CN"/>
        </w:rPr>
        <w:t>三、</w:t>
      </w:r>
      <w:r>
        <w:rPr>
          <w:rFonts w:hint="eastAsia" w:ascii="仿宋" w:hAnsi="仿宋" w:eastAsia="仿宋"/>
          <w:b/>
          <w:bCs/>
          <w:sz w:val="30"/>
          <w:szCs w:val="30"/>
        </w:rPr>
        <w:t>主要标的一览表</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cs="Times New Roman"/>
          <w:color w:val="auto"/>
          <w:sz w:val="28"/>
          <w:szCs w:val="28"/>
          <w:highlight w:val="none"/>
        </w:rPr>
      </w:pPr>
      <w:r>
        <w:rPr>
          <w:rFonts w:hint="eastAsia" w:ascii="仿宋" w:hAnsi="仿宋" w:eastAsia="仿宋"/>
          <w:sz w:val="30"/>
          <w:szCs w:val="30"/>
        </w:rPr>
        <w:t>此表中主要标的由采购人列出，产品由供应商填写，将随中标结果公告一并发布，接受社会监督。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095"/>
        <w:gridCol w:w="4326"/>
        <w:gridCol w:w="1697"/>
        <w:gridCol w:w="487"/>
        <w:gridCol w:w="487"/>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jc w:val="center"/>
              <w:textAlignment w:val="center"/>
              <w:rPr>
                <w:rFonts w:hint="eastAsia" w:ascii="仿宋" w:hAnsi="仿宋" w:eastAsia="仿宋" w:cs="仿宋"/>
                <w:b/>
                <w:bCs w:val="0"/>
                <w:color w:val="000000"/>
                <w:kern w:val="0"/>
                <w:sz w:val="24"/>
                <w:szCs w:val="24"/>
                <w:lang w:eastAsia="zh-CN" w:bidi="ar"/>
              </w:rPr>
            </w:pPr>
            <w:r>
              <w:rPr>
                <w:rFonts w:hint="eastAsia" w:ascii="仿宋" w:hAnsi="仿宋" w:eastAsia="仿宋" w:cs="仿宋"/>
                <w:b/>
                <w:bCs w:val="0"/>
                <w:color w:val="000000"/>
                <w:kern w:val="0"/>
                <w:sz w:val="24"/>
                <w:szCs w:val="24"/>
                <w:lang w:eastAsia="zh-CN" w:bidi="ar"/>
              </w:rPr>
              <w:t>序号</w:t>
            </w:r>
          </w:p>
        </w:tc>
        <w:tc>
          <w:tcPr>
            <w:tcW w:w="1095" w:type="dxa"/>
            <w:vAlign w:val="center"/>
          </w:tcPr>
          <w:p>
            <w:pPr>
              <w:jc w:val="center"/>
              <w:textAlignment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产品</w:t>
            </w:r>
          </w:p>
          <w:p>
            <w:pPr>
              <w:jc w:val="center"/>
              <w:textAlignment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名称</w:t>
            </w:r>
          </w:p>
        </w:tc>
        <w:tc>
          <w:tcPr>
            <w:tcW w:w="4325" w:type="dxa"/>
            <w:vAlign w:val="center"/>
          </w:tcPr>
          <w:p>
            <w:pPr>
              <w:spacing w:line="276" w:lineRule="auto"/>
              <w:jc w:val="center"/>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技术参数</w:t>
            </w:r>
          </w:p>
        </w:tc>
        <w:tc>
          <w:tcPr>
            <w:tcW w:w="0" w:type="auto"/>
            <w:vAlign w:val="center"/>
          </w:tcPr>
          <w:p>
            <w:pPr>
              <w:jc w:val="center"/>
              <w:textAlignment w:val="center"/>
              <w:rPr>
                <w:rFonts w:hint="eastAsia" w:ascii="仿宋" w:hAnsi="仿宋" w:eastAsia="仿宋" w:cs="仿宋"/>
                <w:b/>
                <w:bCs w:val="0"/>
                <w:color w:val="000000"/>
                <w:sz w:val="24"/>
                <w:szCs w:val="24"/>
                <w:lang w:eastAsia="zh-CN"/>
              </w:rPr>
            </w:pPr>
            <w:r>
              <w:rPr>
                <w:rFonts w:hint="eastAsia" w:ascii="仿宋" w:hAnsi="仿宋" w:eastAsia="仿宋" w:cs="仿宋"/>
                <w:b/>
                <w:bCs w:val="0"/>
                <w:color w:val="000000"/>
                <w:sz w:val="24"/>
                <w:szCs w:val="24"/>
                <w:lang w:eastAsia="zh-CN"/>
              </w:rPr>
              <w:t>数量</w:t>
            </w:r>
          </w:p>
        </w:tc>
        <w:tc>
          <w:tcPr>
            <w:tcW w:w="0" w:type="auto"/>
            <w:vAlign w:val="center"/>
          </w:tcPr>
          <w:p>
            <w:pPr>
              <w:jc w:val="center"/>
              <w:textAlignment w:val="center"/>
              <w:rPr>
                <w:rFonts w:hint="eastAsia" w:ascii="仿宋" w:hAnsi="仿宋" w:eastAsia="仿宋" w:cs="仿宋"/>
                <w:b/>
                <w:bCs w:val="0"/>
                <w:color w:val="000000"/>
                <w:sz w:val="24"/>
                <w:szCs w:val="24"/>
                <w:lang w:eastAsia="zh-CN"/>
              </w:rPr>
            </w:pPr>
            <w:r>
              <w:rPr>
                <w:rFonts w:hint="eastAsia" w:ascii="仿宋" w:hAnsi="仿宋" w:eastAsia="仿宋" w:cs="仿宋"/>
                <w:b/>
                <w:bCs w:val="0"/>
                <w:color w:val="000000"/>
                <w:sz w:val="24"/>
                <w:szCs w:val="24"/>
                <w:lang w:eastAsia="zh-CN"/>
              </w:rPr>
              <w:t>单位</w:t>
            </w:r>
          </w:p>
        </w:tc>
        <w:tc>
          <w:tcPr>
            <w:tcW w:w="0" w:type="auto"/>
            <w:vAlign w:val="center"/>
          </w:tcPr>
          <w:p>
            <w:pPr>
              <w:pStyle w:val="2"/>
              <w:jc w:val="center"/>
              <w:rPr>
                <w:rFonts w:hint="eastAsia" w:ascii="仿宋" w:hAnsi="仿宋" w:eastAsia="仿宋"/>
                <w:b/>
                <w:bCs w:val="0"/>
                <w:sz w:val="24"/>
                <w:szCs w:val="24"/>
                <w:vertAlign w:val="baseline"/>
                <w:lang w:eastAsia="zh-CN"/>
              </w:rPr>
            </w:pPr>
            <w:r>
              <w:rPr>
                <w:rFonts w:hint="eastAsia" w:ascii="仿宋" w:hAnsi="仿宋" w:eastAsia="仿宋"/>
                <w:b/>
                <w:bCs w:val="0"/>
                <w:sz w:val="24"/>
                <w:szCs w:val="24"/>
                <w:vertAlign w:val="baseline"/>
                <w:lang w:eastAsia="zh-CN"/>
              </w:rPr>
              <w:t>单价</w:t>
            </w:r>
          </w:p>
        </w:tc>
        <w:tc>
          <w:tcPr>
            <w:tcW w:w="0" w:type="auto"/>
            <w:vAlign w:val="center"/>
          </w:tcPr>
          <w:p>
            <w:pPr>
              <w:pStyle w:val="2"/>
              <w:jc w:val="center"/>
              <w:rPr>
                <w:rFonts w:hint="eastAsia" w:ascii="仿宋" w:hAnsi="仿宋" w:eastAsia="仿宋"/>
                <w:b/>
                <w:bCs w:val="0"/>
                <w:sz w:val="24"/>
                <w:szCs w:val="24"/>
                <w:vertAlign w:val="baseline"/>
                <w:lang w:eastAsia="zh-CN"/>
              </w:rPr>
            </w:pPr>
            <w:r>
              <w:rPr>
                <w:rFonts w:hint="eastAsia" w:ascii="仿宋" w:hAnsi="仿宋" w:eastAsia="仿宋"/>
                <w:b/>
                <w:bCs w:val="0"/>
                <w:sz w:val="24"/>
                <w:szCs w:val="24"/>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gridSpan w:val="7"/>
            <w:vAlign w:val="center"/>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30"/>
                <w:szCs w:val="30"/>
                <w:vertAlign w:val="baseline"/>
              </w:rPr>
            </w:pPr>
            <w:r>
              <w:rPr>
                <w:rFonts w:hint="eastAsia" w:ascii="仿宋" w:hAnsi="仿宋" w:eastAsia="仿宋" w:cs="仿宋"/>
                <w:b/>
                <w:color w:val="000000"/>
                <w:kern w:val="0"/>
                <w:sz w:val="24"/>
                <w:szCs w:val="24"/>
                <w:lang w:eastAsia="zh-CN" w:bidi="ar"/>
              </w:rPr>
              <w:t>一、</w:t>
            </w:r>
            <w:r>
              <w:rPr>
                <w:rFonts w:hint="eastAsia" w:ascii="仿宋" w:hAnsi="仿宋" w:eastAsia="仿宋" w:cs="仿宋"/>
                <w:b/>
                <w:color w:val="000000"/>
                <w:kern w:val="0"/>
                <w:sz w:val="24"/>
                <w:szCs w:val="24"/>
                <w:lang w:val="en-US" w:eastAsia="zh-CN" w:bidi="ar"/>
              </w:rPr>
              <w:t>2</w:t>
            </w:r>
            <w:r>
              <w:rPr>
                <w:rFonts w:hint="eastAsia" w:ascii="仿宋" w:hAnsi="仿宋" w:eastAsia="仿宋" w:cs="仿宋"/>
                <w:b/>
                <w:color w:val="000000"/>
                <w:kern w:val="0"/>
                <w:sz w:val="24"/>
                <w:szCs w:val="24"/>
                <w:lang w:bidi="ar"/>
              </w:rPr>
              <w:t>楼会议室全彩LED屏技术参数及需求显示尺寸：长（3.2M～3.36M）×高（1.92M)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1</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全彩LED屏</w:t>
            </w:r>
          </w:p>
          <w:p>
            <w:pPr>
              <w:pStyle w:val="2"/>
              <w:keepNext w:val="0"/>
              <w:keepLines w:val="0"/>
              <w:pageBreakBefore w:val="0"/>
              <w:kinsoku/>
              <w:wordWrap/>
              <w:overflowPunct/>
              <w:topLinePunct w:val="0"/>
              <w:autoSpaceDE/>
              <w:autoSpaceDN/>
              <w:bidi w:val="0"/>
              <w:adjustRightInd/>
              <w:snapToGrid/>
              <w:spacing w:line="280" w:lineRule="exact"/>
              <w:rPr>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推荐</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品牌：</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洲明</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三</w:t>
            </w:r>
            <w:r>
              <w:rPr>
                <w:rFonts w:hint="eastAsia" w:ascii="仿宋" w:hAnsi="仿宋" w:eastAsia="仿宋" w:cs="仿宋"/>
                <w:color w:val="000000"/>
                <w:kern w:val="0"/>
                <w:sz w:val="21"/>
                <w:szCs w:val="21"/>
                <w:lang w:bidi="ar"/>
              </w:rPr>
              <w:t>思</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艾比森</w:t>
            </w:r>
          </w:p>
          <w:p>
            <w:pPr>
              <w:keepNext w:val="0"/>
              <w:keepLines w:val="0"/>
              <w:pageBreakBefore w:val="0"/>
              <w:kinsoku/>
              <w:wordWrap/>
              <w:overflowPunct/>
              <w:topLinePunct w:val="0"/>
              <w:autoSpaceDE/>
              <w:autoSpaceDN/>
              <w:bidi w:val="0"/>
              <w:adjustRightInd/>
              <w:snapToGrid/>
              <w:spacing w:line="280" w:lineRule="exact"/>
              <w:textAlignment w:val="center"/>
              <w:rPr>
                <w:rFonts w:hint="eastAsia" w:ascii="仿宋" w:hAnsi="仿宋" w:eastAsia="仿宋" w:cs="仿宋"/>
                <w:kern w:val="2"/>
                <w:sz w:val="21"/>
                <w:szCs w:val="21"/>
                <w:lang w:val="en-US" w:eastAsia="zh-CN" w:bidi="ar-SA"/>
              </w:rPr>
            </w:pP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 像素间距≤1.875mm</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2. 物理密度≥284444点/m2:</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3. 像素基色： R+G+B线性排列</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4.LED 封装方式:SMD黑灯封装</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5.可视视角: 水平≥140度，垂直≥140度。</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6. 最大对比度:≥8000:1</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7.刷新频率:1920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 xml:space="preserve">8.灰度：8-16bit </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9.白平衡亮度:800nits,亮度可调节。</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10.寿命:≥100000Hours</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11.杂点率:＜1/100000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12. 维护方式：支持模组、电源、接收卡完全前维护和完全后维护。</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13.模组平整度≤0.5mm</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14.模组间缝隙≤1mm</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15.发光点中心偏差＜2%</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16.亮度均匀性≥98%</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17.内置PFC功能，电压适应100V-240V</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18.节能：具有智能节电和黑屏节电功能，节能模式节电40%以上。</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★19.为保证屏体平整度、密闭防尘性以及后期维护，须采用原厂原装压铸铝箱体，箱体上须有原厂品牌丝印或钢印LOGO。</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 中标后三日内提供 LED 生产厂家的产品授权书及售后服务承诺函原件并加盖生产厂家公章。</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p>
          <w:p>
            <w:pPr>
              <w:pStyle w:val="2"/>
              <w:keepNext w:val="0"/>
              <w:keepLines w:val="0"/>
              <w:pageBreakBefore w:val="0"/>
              <w:kinsoku/>
              <w:wordWrap/>
              <w:overflowPunct/>
              <w:topLinePunct w:val="0"/>
              <w:autoSpaceDE/>
              <w:autoSpaceDN/>
              <w:bidi w:val="0"/>
              <w:adjustRightInd/>
              <w:snapToGrid/>
              <w:spacing w:line="280" w:lineRule="exact"/>
              <w:rPr>
                <w:rFonts w:hint="eastAsia"/>
                <w:sz w:val="21"/>
                <w:szCs w:val="21"/>
              </w:rPr>
            </w:pPr>
          </w:p>
          <w:p>
            <w:pPr>
              <w:pStyle w:val="2"/>
              <w:keepNext w:val="0"/>
              <w:keepLines w:val="0"/>
              <w:pageBreakBefore w:val="0"/>
              <w:kinsoku/>
              <w:wordWrap/>
              <w:overflowPunct/>
              <w:topLinePunct w:val="0"/>
              <w:autoSpaceDE/>
              <w:autoSpaceDN/>
              <w:bidi w:val="0"/>
              <w:adjustRightInd/>
              <w:snapToGrid/>
              <w:spacing w:line="280" w:lineRule="exact"/>
              <w:rPr>
                <w:rFonts w:hint="eastAsia"/>
                <w:sz w:val="21"/>
                <w:szCs w:val="21"/>
              </w:rPr>
            </w:pPr>
          </w:p>
          <w:p>
            <w:pPr>
              <w:pStyle w:val="2"/>
              <w:keepNext w:val="0"/>
              <w:keepLines w:val="0"/>
              <w:pageBreakBefore w:val="0"/>
              <w:kinsoku/>
              <w:wordWrap/>
              <w:overflowPunct/>
              <w:topLinePunct w:val="0"/>
              <w:autoSpaceDE/>
              <w:autoSpaceDN/>
              <w:bidi w:val="0"/>
              <w:adjustRightInd/>
              <w:snapToGrid/>
              <w:spacing w:line="280" w:lineRule="exact"/>
              <w:rPr>
                <w:rFonts w:hint="eastAsia"/>
                <w:sz w:val="21"/>
                <w:szCs w:val="21"/>
              </w:rPr>
            </w:pPr>
          </w:p>
          <w:p>
            <w:pPr>
              <w:pStyle w:val="2"/>
              <w:keepNext w:val="0"/>
              <w:keepLines w:val="0"/>
              <w:pageBreakBefore w:val="0"/>
              <w:kinsoku/>
              <w:wordWrap/>
              <w:overflowPunct/>
              <w:topLinePunct w:val="0"/>
              <w:autoSpaceDE/>
              <w:autoSpaceDN/>
              <w:bidi w:val="0"/>
              <w:adjustRightInd/>
              <w:snapToGrid/>
              <w:spacing w:line="280" w:lineRule="exact"/>
              <w:rPr>
                <w:rFonts w:hint="eastAsia"/>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6.14～6.45</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Cs/>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（因各品牌单元板及箱体尺</w:t>
            </w:r>
            <w:r>
              <w:rPr>
                <w:rFonts w:hint="eastAsia" w:ascii="仿宋" w:hAnsi="仿宋" w:eastAsia="仿宋" w:cs="仿宋"/>
                <w:bCs/>
                <w:color w:val="000000"/>
                <w:sz w:val="21"/>
                <w:szCs w:val="21"/>
                <w:lang w:eastAsia="zh-CN"/>
              </w:rPr>
              <w:t>寸差异</w:t>
            </w: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eastAsia="zh-CN"/>
              </w:rPr>
              <w:t>在</w:t>
            </w:r>
            <w:r>
              <w:rPr>
                <w:rFonts w:hint="eastAsia" w:ascii="仿宋" w:hAnsi="仿宋" w:eastAsia="仿宋" w:cs="仿宋"/>
                <w:bCs/>
                <w:color w:val="000000"/>
                <w:sz w:val="21"/>
                <w:szCs w:val="21"/>
                <w:lang w:val="en-US" w:eastAsia="zh-CN"/>
              </w:rPr>
              <w:t>6.14</w:t>
            </w: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6.45</w:t>
            </w:r>
            <w:r>
              <w:rPr>
                <w:rFonts w:hint="eastAsia" w:ascii="仿宋" w:hAnsi="仿宋" w:eastAsia="仿宋"/>
                <w:sz w:val="21"/>
                <w:szCs w:val="21"/>
                <w:lang w:val="en-US" w:eastAsia="zh-CN"/>
              </w:rPr>
              <w:t>m</w:t>
            </w:r>
            <w:r>
              <w:rPr>
                <w:rFonts w:hint="eastAsia" w:ascii="仿宋" w:hAnsi="仿宋" w:eastAsia="仿宋"/>
                <w:sz w:val="21"/>
                <w:szCs w:val="21"/>
                <w:vertAlign w:val="superscript"/>
                <w:lang w:val="en-US" w:eastAsia="zh-CN"/>
              </w:rPr>
              <w:t>2</w:t>
            </w:r>
            <w:r>
              <w:rPr>
                <w:rFonts w:hint="eastAsia" w:ascii="仿宋" w:hAnsi="仿宋" w:eastAsia="仿宋" w:cs="仿宋"/>
                <w:bCs/>
                <w:color w:val="000000"/>
                <w:sz w:val="21"/>
                <w:szCs w:val="21"/>
                <w:lang w:eastAsia="zh-CN"/>
              </w:rPr>
              <w:t>的范围内的均为符合要求</w:t>
            </w:r>
            <w:r>
              <w:rPr>
                <w:rFonts w:hint="eastAsia" w:ascii="仿宋" w:hAnsi="仿宋" w:eastAsia="仿宋"/>
                <w:sz w:val="21"/>
                <w:szCs w:val="21"/>
                <w:vertAlign w:val="superscript"/>
                <w:lang w:val="en-US" w:eastAsia="zh-CN"/>
              </w:rPr>
              <w:t xml:space="preserve"> </w:t>
            </w:r>
            <w:r>
              <w:rPr>
                <w:rFonts w:hint="eastAsia" w:ascii="仿宋" w:hAnsi="仿宋" w:eastAsia="仿宋" w:cs="仿宋"/>
                <w:bCs/>
                <w:color w:val="000000"/>
                <w:sz w:val="21"/>
                <w:szCs w:val="21"/>
              </w:rPr>
              <w:t>）</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Cs/>
                <w:color w:val="000000"/>
                <w:kern w:val="2"/>
                <w:sz w:val="21"/>
                <w:szCs w:val="21"/>
                <w:lang w:val="en-US" w:eastAsia="zh-CN" w:bidi="ar-SA"/>
              </w:rPr>
            </w:pPr>
            <w:r>
              <w:rPr>
                <w:rFonts w:hint="eastAsia" w:ascii="仿宋" w:hAnsi="仿宋" w:eastAsia="仿宋"/>
                <w:sz w:val="21"/>
                <w:szCs w:val="21"/>
                <w:lang w:val="en-US" w:eastAsia="zh-CN"/>
              </w:rPr>
              <w:t>m</w:t>
            </w:r>
            <w:r>
              <w:rPr>
                <w:rFonts w:hint="eastAsia" w:ascii="仿宋" w:hAnsi="仿宋" w:eastAsia="仿宋"/>
                <w:sz w:val="21"/>
                <w:szCs w:val="21"/>
                <w:vertAlign w:val="superscript"/>
                <w:lang w:val="en-US" w:eastAsia="zh-CN"/>
              </w:rPr>
              <w:t>2</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2</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接收卡</w:t>
            </w:r>
          </w:p>
        </w:tc>
        <w:tc>
          <w:tcPr>
            <w:tcW w:w="4325" w:type="dxa"/>
            <w:vAlign w:val="center"/>
          </w:tcPr>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24组数据小接收卡，其功能简介如下：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1) 单卡输出 RGBR’数据 16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2) 单卡输出 RGB 数据 24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3) 单卡输出 RGB 数组 20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4) 单卡输出串行数据 64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5) 单卡带载像素为 256×226；</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套</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3</w:t>
            </w:r>
          </w:p>
        </w:tc>
        <w:tc>
          <w:tcPr>
            <w:tcW w:w="1095" w:type="dxa"/>
            <w:vAlign w:val="center"/>
          </w:tcPr>
          <w:p>
            <w:pPr>
              <w:pStyle w:val="3"/>
              <w:keepNext w:val="0"/>
              <w:keepLines w:val="0"/>
              <w:pageBreakBefore w:val="0"/>
              <w:kinsoku/>
              <w:wordWrap/>
              <w:overflowPunct/>
              <w:topLinePunct w:val="0"/>
              <w:autoSpaceDE/>
              <w:autoSpaceDN/>
              <w:bidi w:val="0"/>
              <w:adjustRightInd/>
              <w:snapToGrid/>
              <w:spacing w:line="280" w:lineRule="exact"/>
              <w:jc w:val="center"/>
              <w:rPr>
                <w:rFonts w:hint="eastAsia" w:ascii="Calibri" w:hAnsi="Calibri" w:eastAsia="宋体" w:cs="Calibri"/>
                <w:b/>
                <w:bCs/>
                <w:kern w:val="44"/>
                <w:sz w:val="21"/>
                <w:szCs w:val="21"/>
                <w:lang w:val="en-US" w:eastAsia="zh-CN" w:bidi="ar-SA"/>
              </w:rPr>
            </w:pPr>
            <w:r>
              <w:rPr>
                <w:rFonts w:hint="eastAsia" w:ascii="仿宋" w:hAnsi="仿宋" w:eastAsia="仿宋" w:cs="仿宋"/>
                <w:b w:val="0"/>
                <w:bCs w:val="0"/>
                <w:kern w:val="2"/>
                <w:sz w:val="21"/>
                <w:szCs w:val="21"/>
                <w:lang w:val="en-US" w:eastAsia="zh-CN"/>
              </w:rPr>
              <w:t>电源</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kern w:val="2"/>
                <w:sz w:val="21"/>
                <w:szCs w:val="21"/>
                <w:lang w:val="en-US" w:eastAsia="zh-CN" w:bidi="ar-SA"/>
              </w:rPr>
            </w:pPr>
            <w:r>
              <w:rPr>
                <w:rFonts w:ascii="仿宋" w:hAnsi="仿宋" w:eastAsia="仿宋" w:cs="仿宋"/>
                <w:bCs/>
                <w:sz w:val="21"/>
                <w:szCs w:val="21"/>
              </w:rPr>
              <w:t>200W40A5V</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套</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4</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图像处理器</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sz w:val="21"/>
                <w:szCs w:val="21"/>
              </w:rPr>
              <w:t>输入：2xCVBS、2xVGA. 1xDVI、1xHDMI、1xYPbPr、1xAudio、1x选配 SDI；输出：4x网口、1xVGA、1xDVI监视、1xDVI（环出）</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台</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５</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编辑控制软件</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显示屏专用管理软件，配合发送、接收、监控以及多功能卡，用户可以方便的实现对LED显示屏的智能配置、参数调节、亮度控制、电源管理、屏体校正以及硬件监控。</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套</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６</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安装钢结构</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现场定制，含大屏包边、安装钢结构、安装连接件等。</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项</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７</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配电柜</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智能型成套配电柜：功率不低于15kw ，带PLC远程控制功能。6路开关，单路不低于2.5KW，配电机柜总开关50A，单路开关32A。</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台</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８</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控制主机</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5401-1725S   I7-1065G7/8G/512G/MX330 2G/WIN10/14寸FHD 银色</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台</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9</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专用线材</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超五类网线、DVI,长排线、短排线、内部电源线等</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套</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10</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运输、调试</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搬运、调试等</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项</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11</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售后服务</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sz w:val="21"/>
                <w:szCs w:val="21"/>
              </w:rPr>
              <w:t>★所有产品非人为贰年全免费质保</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项</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vAlign w:val="center"/>
          </w:tcPr>
          <w:p>
            <w:pPr>
              <w:keepNext w:val="0"/>
              <w:keepLines w:val="0"/>
              <w:pageBreakBefore w:val="0"/>
              <w:kinsoku/>
              <w:wordWrap/>
              <w:overflowPunct/>
              <w:topLinePunct w:val="0"/>
              <w:autoSpaceDE/>
              <w:autoSpaceDN/>
              <w:bidi w:val="0"/>
              <w:adjustRightInd/>
              <w:snapToGrid/>
              <w:spacing w:line="280" w:lineRule="exact"/>
              <w:jc w:val="both"/>
              <w:textAlignment w:val="center"/>
              <w:rPr>
                <w:rFonts w:hint="eastAsia" w:ascii="仿宋" w:hAnsi="仿宋" w:eastAsia="仿宋"/>
                <w:sz w:val="21"/>
                <w:szCs w:val="21"/>
                <w:vertAlign w:val="baseline"/>
              </w:rPr>
            </w:pPr>
            <w:r>
              <w:rPr>
                <w:rFonts w:hint="eastAsia" w:ascii="仿宋" w:hAnsi="仿宋" w:eastAsia="仿宋" w:cs="仿宋"/>
                <w:b/>
                <w:color w:val="000000"/>
                <w:kern w:val="0"/>
                <w:sz w:val="21"/>
                <w:szCs w:val="21"/>
                <w:lang w:eastAsia="zh-CN" w:bidi="ar"/>
              </w:rPr>
              <w:t>二</w:t>
            </w:r>
            <w:r>
              <w:rPr>
                <w:rFonts w:hint="eastAsia" w:ascii="仿宋" w:hAnsi="仿宋" w:eastAsia="仿宋" w:cs="仿宋"/>
                <w:b/>
                <w:color w:val="000000"/>
                <w:kern w:val="0"/>
                <w:sz w:val="21"/>
                <w:szCs w:val="21"/>
                <w:lang w:val="en-US" w:eastAsia="zh-CN" w:bidi="ar"/>
              </w:rPr>
              <w:t>、4楼会议室全彩LED屏技术参数及需求显示尺寸：长（3.52M～3.584M）×高（1.92M～2.048M）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trPr>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1</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全彩LED屏</w:t>
            </w:r>
          </w:p>
          <w:p>
            <w:pPr>
              <w:pStyle w:val="2"/>
              <w:keepNext w:val="0"/>
              <w:keepLines w:val="0"/>
              <w:pageBreakBefore w:val="0"/>
              <w:kinsoku/>
              <w:wordWrap/>
              <w:overflowPunct/>
              <w:topLinePunct w:val="0"/>
              <w:autoSpaceDE/>
              <w:autoSpaceDN/>
              <w:bidi w:val="0"/>
              <w:adjustRightInd/>
              <w:snapToGrid/>
              <w:spacing w:line="280" w:lineRule="exact"/>
              <w:rPr>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推荐品牌：</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洲明</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三</w:t>
            </w:r>
            <w:r>
              <w:rPr>
                <w:rFonts w:hint="eastAsia" w:ascii="仿宋" w:hAnsi="仿宋" w:eastAsia="仿宋" w:cs="仿宋"/>
                <w:color w:val="000000"/>
                <w:kern w:val="0"/>
                <w:sz w:val="21"/>
                <w:szCs w:val="21"/>
                <w:lang w:bidi="ar"/>
              </w:rPr>
              <w:t>思</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艾比森</w:t>
            </w:r>
          </w:p>
          <w:p>
            <w:pPr>
              <w:keepNext w:val="0"/>
              <w:keepLines w:val="0"/>
              <w:pageBreakBefore w:val="0"/>
              <w:kinsoku/>
              <w:wordWrap/>
              <w:overflowPunct/>
              <w:topLinePunct w:val="0"/>
              <w:autoSpaceDE/>
              <w:autoSpaceDN/>
              <w:bidi w:val="0"/>
              <w:adjustRightInd/>
              <w:snapToGrid/>
              <w:spacing w:line="280" w:lineRule="exact"/>
              <w:textAlignment w:val="center"/>
              <w:rPr>
                <w:rFonts w:hint="eastAsia" w:ascii="仿宋" w:hAnsi="仿宋" w:eastAsia="仿宋" w:cs="仿宋"/>
                <w:kern w:val="2"/>
                <w:sz w:val="21"/>
                <w:szCs w:val="21"/>
                <w:lang w:val="en-US" w:eastAsia="zh-CN" w:bidi="ar-SA"/>
              </w:rPr>
            </w:pPr>
          </w:p>
        </w:tc>
        <w:tc>
          <w:tcPr>
            <w:tcW w:w="4325" w:type="dxa"/>
            <w:vAlign w:val="center"/>
          </w:tcPr>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★1.像素间距≤2.0mm</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2.物理密度≥250000像素/m2:</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3.模组最大功耗（W） ≤25</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4.单点亮度校正 有</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5.单点色度校正 有</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6.白平衡亮度（nits） ≥500</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7.色温（K） 2000-9300 可调</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8.视角（水平/垂直°） 140/120</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9.发光点中心距偏差 ＜3%</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10.亮度/色度均匀性 ≥97%</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11.对比度 5000:1</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12.最大功耗（W/m2） 488</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13.平均功耗（W/m2） 162</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★14.为保证屏体平整度、密闭防尘性以及后期维护，须采用原厂原装压铸铝箱体，箱体上须有原厂品牌丝印或钢印LOGO。</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sz w:val="21"/>
                <w:szCs w:val="21"/>
                <w:lang w:val="en-US" w:eastAsia="zh-CN"/>
              </w:rPr>
            </w:pPr>
            <w:r>
              <w:rPr>
                <w:rFonts w:hint="eastAsia" w:ascii="仿宋" w:hAnsi="仿宋" w:eastAsia="仿宋" w:cs="仿宋"/>
                <w:bCs/>
                <w:sz w:val="21"/>
                <w:szCs w:val="21"/>
              </w:rPr>
              <w:t>★15.中标后三日内提供 LED 生产厂家的产品授权书及售后服务承诺函原件并加盖厂家公章。</w:t>
            </w:r>
          </w:p>
        </w:tc>
        <w:tc>
          <w:tcPr>
            <w:tcW w:w="0" w:type="auto"/>
            <w:vAlign w:val="center"/>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6.76～7.34</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（因各品牌单元板及箱体尺</w:t>
            </w:r>
            <w:r>
              <w:rPr>
                <w:rFonts w:hint="eastAsia" w:ascii="仿宋" w:hAnsi="仿宋" w:eastAsia="仿宋" w:cs="仿宋"/>
                <w:bCs/>
                <w:color w:val="000000"/>
                <w:sz w:val="21"/>
                <w:szCs w:val="21"/>
                <w:lang w:eastAsia="zh-CN"/>
              </w:rPr>
              <w:t>寸差异</w:t>
            </w: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eastAsia="zh-CN"/>
              </w:rPr>
              <w:t>在</w:t>
            </w:r>
            <w:r>
              <w:rPr>
                <w:rFonts w:hint="eastAsia" w:ascii="仿宋" w:hAnsi="仿宋" w:eastAsia="仿宋" w:cs="仿宋"/>
                <w:bCs/>
                <w:color w:val="000000"/>
                <w:sz w:val="21"/>
                <w:szCs w:val="21"/>
              </w:rPr>
              <w:t>6.76～7.34</w:t>
            </w:r>
          </w:p>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sz w:val="21"/>
                <w:szCs w:val="21"/>
                <w:lang w:val="en-US" w:eastAsia="zh-CN"/>
              </w:rPr>
              <w:t>m</w:t>
            </w:r>
            <w:r>
              <w:rPr>
                <w:rFonts w:hint="eastAsia" w:ascii="仿宋" w:hAnsi="仿宋" w:eastAsia="仿宋"/>
                <w:sz w:val="21"/>
                <w:szCs w:val="21"/>
                <w:vertAlign w:val="superscript"/>
                <w:lang w:val="en-US" w:eastAsia="zh-CN"/>
              </w:rPr>
              <w:t>2</w:t>
            </w:r>
            <w:r>
              <w:rPr>
                <w:rFonts w:hint="eastAsia" w:ascii="仿宋" w:hAnsi="仿宋" w:eastAsia="仿宋" w:cs="仿宋"/>
                <w:bCs/>
                <w:color w:val="000000"/>
                <w:sz w:val="21"/>
                <w:szCs w:val="21"/>
                <w:lang w:eastAsia="zh-CN"/>
              </w:rPr>
              <w:t>的范围内的均为符合要求</w:t>
            </w:r>
            <w:r>
              <w:rPr>
                <w:rFonts w:hint="eastAsia" w:ascii="仿宋" w:hAnsi="仿宋" w:eastAsia="仿宋"/>
                <w:sz w:val="21"/>
                <w:szCs w:val="21"/>
                <w:vertAlign w:val="superscript"/>
                <w:lang w:val="en-US" w:eastAsia="zh-CN"/>
              </w:rPr>
              <w:t xml:space="preserve"> </w:t>
            </w:r>
            <w:r>
              <w:rPr>
                <w:rFonts w:hint="eastAsia" w:ascii="仿宋" w:hAnsi="仿宋" w:eastAsia="仿宋" w:cs="仿宋"/>
                <w:bCs/>
                <w:color w:val="000000"/>
                <w:sz w:val="21"/>
                <w:szCs w:val="21"/>
              </w:rPr>
              <w:t>）</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sz w:val="21"/>
                <w:szCs w:val="21"/>
                <w:lang w:val="en-US" w:eastAsia="zh-CN"/>
              </w:rPr>
              <w:t>m</w:t>
            </w:r>
            <w:r>
              <w:rPr>
                <w:rFonts w:hint="eastAsia" w:ascii="仿宋" w:hAnsi="仿宋" w:eastAsia="仿宋"/>
                <w:sz w:val="21"/>
                <w:szCs w:val="21"/>
                <w:vertAlign w:val="superscript"/>
                <w:lang w:val="en-US" w:eastAsia="zh-CN"/>
              </w:rPr>
              <w:t>2</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2</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接收卡</w:t>
            </w:r>
          </w:p>
        </w:tc>
        <w:tc>
          <w:tcPr>
            <w:tcW w:w="4325" w:type="dxa"/>
            <w:vAlign w:val="center"/>
          </w:tcPr>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12-24组数据接收卡，其功能简介如下：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1) 单卡输出 RGBR’数据 16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2) 单卡输出 RGB 数据 24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3) 单卡输出 RGB 数组 20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sz w:val="21"/>
                <w:szCs w:val="21"/>
              </w:rPr>
            </w:pPr>
            <w:r>
              <w:rPr>
                <w:rFonts w:hint="eastAsia" w:ascii="仿宋" w:hAnsi="仿宋" w:eastAsia="仿宋" w:cs="仿宋"/>
                <w:bCs/>
                <w:sz w:val="21"/>
                <w:szCs w:val="21"/>
              </w:rPr>
              <w:t xml:space="preserve">4) 单卡输出串行数据 64 组； </w:t>
            </w:r>
          </w:p>
          <w:p>
            <w:pPr>
              <w:pStyle w:val="9"/>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5) 单卡带载像素为 256×226；</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套</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3</w:t>
            </w:r>
          </w:p>
        </w:tc>
        <w:tc>
          <w:tcPr>
            <w:tcW w:w="1095" w:type="dxa"/>
            <w:vAlign w:val="center"/>
          </w:tcPr>
          <w:p>
            <w:pPr>
              <w:pStyle w:val="3"/>
              <w:keepNext w:val="0"/>
              <w:keepLines w:val="0"/>
              <w:pageBreakBefore w:val="0"/>
              <w:kinsoku/>
              <w:wordWrap/>
              <w:overflowPunct/>
              <w:topLinePunct w:val="0"/>
              <w:autoSpaceDE/>
              <w:autoSpaceDN/>
              <w:bidi w:val="0"/>
              <w:adjustRightInd/>
              <w:snapToGrid/>
              <w:spacing w:line="280" w:lineRule="exact"/>
              <w:jc w:val="center"/>
              <w:rPr>
                <w:rFonts w:hint="eastAsia" w:ascii="Calibri" w:hAnsi="Calibri" w:eastAsia="宋体" w:cs="Calibri"/>
                <w:b/>
                <w:bCs/>
                <w:kern w:val="44"/>
                <w:sz w:val="21"/>
                <w:szCs w:val="21"/>
                <w:lang w:val="en-US" w:eastAsia="zh-CN" w:bidi="ar-SA"/>
              </w:rPr>
            </w:pPr>
            <w:r>
              <w:rPr>
                <w:rFonts w:hint="eastAsia" w:ascii="仿宋" w:hAnsi="仿宋" w:eastAsia="仿宋" w:cs="仿宋"/>
                <w:b w:val="0"/>
                <w:bCs w:val="0"/>
                <w:kern w:val="2"/>
                <w:sz w:val="21"/>
                <w:szCs w:val="21"/>
                <w:lang w:val="en-US" w:eastAsia="zh-CN"/>
              </w:rPr>
              <w:t>电源</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kern w:val="2"/>
                <w:sz w:val="21"/>
                <w:szCs w:val="21"/>
                <w:lang w:val="en-US" w:eastAsia="zh-CN" w:bidi="ar-SA"/>
              </w:rPr>
            </w:pPr>
            <w:r>
              <w:rPr>
                <w:rFonts w:ascii="仿宋" w:hAnsi="仿宋" w:eastAsia="仿宋" w:cs="仿宋"/>
                <w:bCs/>
                <w:sz w:val="21"/>
                <w:szCs w:val="21"/>
              </w:rPr>
              <w:t>200W40A5V</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套</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4</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图像处理器</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sz w:val="21"/>
                <w:szCs w:val="21"/>
              </w:rPr>
              <w:t>输入：2xCVBS、2xVGA. 1xDVI、1xHDMI、1xYPbPr、1xAudio、1x选配 SDI；输出：4x网口、1xVGA、1xDVI监视、1xDVI（环出）</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台</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5</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安装钢结构</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现场定制，含大屏包边、安装钢结构、安装连接件等。</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项</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6</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配电柜</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智能型成套配电柜：功率不低于15kw ，带PLC远程控制功能。</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台</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7</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控制主机</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5401-1725S   I7-1065G7/8G/512G/MX330 2G/WIN10/14寸FHD 银色</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台</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8</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专用线材</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超五类网线、DVI,长排线、短排线、内部电源线等</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套</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9</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运输、调试</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搬运、调试等</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项</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10</w:t>
            </w:r>
          </w:p>
        </w:tc>
        <w:tc>
          <w:tcPr>
            <w:tcW w:w="109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售后服务</w:t>
            </w:r>
          </w:p>
        </w:tc>
        <w:tc>
          <w:tcPr>
            <w:tcW w:w="4325" w:type="dxa"/>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sz w:val="21"/>
                <w:szCs w:val="21"/>
              </w:rPr>
              <w:t>★所有产品非人为贰年全免费质保</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rPr>
              <w:t>1</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lang w:bidi="ar"/>
              </w:rPr>
              <w:t>项</w:t>
            </w: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c>
          <w:tcPr>
            <w:tcW w:w="0" w:type="auto"/>
          </w:tcPr>
          <w:p>
            <w:pPr>
              <w:pStyle w:val="2"/>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bidi="ar"/>
              </w:rPr>
              <w:t>备注</w:t>
            </w:r>
          </w:p>
        </w:tc>
        <w:tc>
          <w:tcPr>
            <w:tcW w:w="7484" w:type="dxa"/>
            <w:gridSpan w:val="5"/>
            <w:vAlign w:val="center"/>
          </w:tcPr>
          <w:p>
            <w:pPr>
              <w:pStyle w:val="2"/>
              <w:keepNext w:val="0"/>
              <w:keepLines w:val="0"/>
              <w:pageBreakBefore w:val="0"/>
              <w:numPr>
                <w:ilvl w:val="0"/>
                <w:numId w:val="1"/>
              </w:numPr>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★标参数为重要参数，须完全满足或优于要求。提供生产厂家证明并加盖生产厂家公章。</w:t>
            </w:r>
          </w:p>
          <w:p>
            <w:pPr>
              <w:pStyle w:val="2"/>
              <w:keepNext w:val="0"/>
              <w:keepLines w:val="0"/>
              <w:pageBreakBefore w:val="0"/>
              <w:numPr>
                <w:ilvl w:val="0"/>
                <w:numId w:val="1"/>
              </w:numPr>
              <w:kinsoku/>
              <w:wordWrap/>
              <w:overflowPunct/>
              <w:topLinePunct w:val="0"/>
              <w:autoSpaceDE/>
              <w:autoSpaceDN/>
              <w:bidi w:val="0"/>
              <w:adjustRightInd/>
              <w:snapToGrid/>
              <w:spacing w:line="280" w:lineRule="exact"/>
              <w:rPr>
                <w:rFonts w:hint="eastAsia" w:ascii="仿宋" w:hAnsi="仿宋" w:eastAsia="仿宋" w:cs="仿宋"/>
                <w:sz w:val="21"/>
                <w:szCs w:val="21"/>
              </w:rPr>
            </w:pPr>
            <w:r>
              <w:rPr>
                <w:rFonts w:hint="eastAsia" w:ascii="仿宋" w:hAnsi="仿宋" w:eastAsia="仿宋" w:cs="仿宋"/>
                <w:sz w:val="21"/>
                <w:szCs w:val="21"/>
              </w:rPr>
              <w:t>为了报价的公平公正，投报单位必须采用采购文件中列举的品牌之一进行该项目的报价。</w:t>
            </w:r>
          </w:p>
        </w:tc>
      </w:tr>
    </w:tbl>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5C92"/>
    <w:multiLevelType w:val="singleLevel"/>
    <w:tmpl w:val="38825C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6AB1"/>
    <w:rsid w:val="0BEE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华文宋体" w:cs="宋体"/>
      <w:sz w:val="28"/>
      <w:szCs w:val="2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002标题"/>
    <w:basedOn w:val="1"/>
    <w:qFormat/>
    <w:uiPriority w:val="99"/>
    <w:pPr>
      <w:jc w:val="center"/>
    </w:pPr>
    <w:rPr>
      <w:sz w:val="30"/>
      <w:szCs w:val="30"/>
    </w:rPr>
  </w:style>
  <w:style w:type="paragraph" w:customStyle="1" w:styleId="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2020-09-23T07:20:00Z</dcterms:created>
  <dc:creator>花开无叶，叶生无花</dc:creator>
  <cp:lastModifiedBy>花开无叶，叶生无花</cp:lastModifiedBy>
  <dcterms:modified xsi:type="dcterms:W3CDTF">2020-09-23T07:22:31Z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