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numPr>
          <w:numId w:val="0"/>
        </w:numPr>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32"/>
          <w:szCs w:val="32"/>
          <w:lang w:bidi="ar"/>
        </w:rPr>
      </w:pPr>
      <w:bookmarkStart w:id="1" w:name="_GoBack"/>
      <w:r>
        <w:rPr>
          <w:rFonts w:hint="eastAsia" w:ascii="方正小标宋简体" w:hAnsi="方正小标宋简体" w:eastAsia="方正小标宋简体" w:cs="方正小标宋简体"/>
          <w:color w:val="000000"/>
          <w:kern w:val="0"/>
          <w:sz w:val="32"/>
          <w:szCs w:val="32"/>
          <w:lang w:bidi="ar"/>
        </w:rPr>
        <w:t>采购需求</w:t>
      </w:r>
    </w:p>
    <w:bookmarkEnd w:id="1"/>
    <w:p>
      <w:pPr>
        <w:pStyle w:val="5"/>
        <w:pageBreakBefore w:val="0"/>
        <w:kinsoku/>
        <w:wordWrap/>
        <w:overflowPunct/>
        <w:topLinePunct w:val="0"/>
        <w:bidi w:val="0"/>
        <w:spacing w:line="520" w:lineRule="exact"/>
        <w:ind w:firstLine="560" w:firstLineChars="200"/>
        <w:jc w:val="left"/>
        <w:rPr>
          <w:rFonts w:hint="eastAsia" w:ascii="黑体" w:hAnsi="黑体" w:eastAsia="黑体" w:cs="黑体"/>
          <w:color w:val="000000"/>
          <w:kern w:val="0"/>
          <w:sz w:val="28"/>
          <w:szCs w:val="28"/>
          <w:lang w:val="zh-CN" w:bidi="ar"/>
        </w:rPr>
      </w:pPr>
    </w:p>
    <w:p>
      <w:pPr>
        <w:pStyle w:val="5"/>
        <w:pageBreakBefore w:val="0"/>
        <w:kinsoku/>
        <w:wordWrap/>
        <w:overflowPunct/>
        <w:topLinePunct w:val="0"/>
        <w:bidi w:val="0"/>
        <w:spacing w:line="520" w:lineRule="exact"/>
        <w:ind w:firstLine="560" w:firstLineChars="200"/>
        <w:jc w:val="left"/>
        <w:rPr>
          <w:rFonts w:hint="eastAsia" w:ascii="黑体" w:hAnsi="黑体" w:eastAsia="黑体" w:cs="黑体"/>
          <w:color w:val="000000"/>
          <w:kern w:val="0"/>
          <w:sz w:val="30"/>
          <w:szCs w:val="30"/>
          <w:lang w:val="zh-CN" w:bidi="ar"/>
        </w:rPr>
      </w:pPr>
      <w:r>
        <w:rPr>
          <w:rFonts w:hint="eastAsia" w:ascii="黑体" w:hAnsi="黑体" w:eastAsia="黑体" w:cs="黑体"/>
          <w:color w:val="000000"/>
          <w:kern w:val="0"/>
          <w:sz w:val="28"/>
          <w:szCs w:val="28"/>
          <w:lang w:val="zh-CN" w:bidi="ar"/>
        </w:rPr>
        <w:t>一、采购内容及参数</w:t>
      </w:r>
    </w:p>
    <w:tbl>
      <w:tblPr>
        <w:tblStyle w:val="6"/>
        <w:tblW w:w="4996" w:type="pct"/>
        <w:tblInd w:w="0" w:type="dxa"/>
        <w:tblLayout w:type="fixed"/>
        <w:tblCellMar>
          <w:top w:w="0" w:type="dxa"/>
          <w:left w:w="108" w:type="dxa"/>
          <w:bottom w:w="0" w:type="dxa"/>
          <w:right w:w="108" w:type="dxa"/>
        </w:tblCellMar>
      </w:tblPr>
      <w:tblGrid>
        <w:gridCol w:w="2219"/>
        <w:gridCol w:w="800"/>
        <w:gridCol w:w="719"/>
        <w:gridCol w:w="4110"/>
        <w:gridCol w:w="1714"/>
      </w:tblGrid>
      <w:tr>
        <w:tblPrEx>
          <w:tblCellMar>
            <w:top w:w="0" w:type="dxa"/>
            <w:left w:w="108" w:type="dxa"/>
            <w:bottom w:w="0" w:type="dxa"/>
            <w:right w:w="108" w:type="dxa"/>
          </w:tblCellMar>
        </w:tblPrEx>
        <w:trPr>
          <w:trHeight w:val="560"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参数</w:t>
            </w:r>
          </w:p>
        </w:tc>
      </w:tr>
      <w:tr>
        <w:tblPrEx>
          <w:tblCellMar>
            <w:top w:w="0" w:type="dxa"/>
            <w:left w:w="108" w:type="dxa"/>
            <w:bottom w:w="0" w:type="dxa"/>
            <w:right w:w="108" w:type="dxa"/>
          </w:tblCellMar>
        </w:tblPrEx>
        <w:trPr>
          <w:trHeight w:val="1280"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腹泻症候群12种致病菌核酸检测试剂盒（荧光PCR法）</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w:t>
            </w:r>
          </w:p>
        </w:tc>
        <w:tc>
          <w:tcPr>
            <w:tcW w:w="214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用于霍乱弧菌、副溶血弧菌、沙门菌、志贺菌、致泻性大肠杆菌、弯曲菌(空肠弯曲菌、结肠弯曲菌)、小肠结肠耶尔森菌、艰难梭菌、阪崎克罗诺杆菌、嗜水气单胞菌、类志贺邻单胞菌、河弧菌的核酸检测。</w:t>
            </w:r>
          </w:p>
        </w:tc>
        <w:tc>
          <w:tcPr>
            <w:tcW w:w="896" w:type="pct"/>
            <w:vMerge w:val="restart"/>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bidi w:val="0"/>
              <w:spacing w:line="520" w:lineRule="exact"/>
              <w:textAlignment w:val="top"/>
              <w:rPr>
                <w:rFonts w:hint="eastAsia" w:ascii="仿宋" w:hAnsi="仿宋" w:eastAsia="仿宋" w:cs="仿宋"/>
                <w:b/>
                <w:color w:val="FF0000"/>
                <w:kern w:val="0"/>
                <w:sz w:val="24"/>
                <w:lang w:bidi="ar"/>
              </w:rPr>
            </w:pPr>
            <w:r>
              <w:rPr>
                <w:rFonts w:hint="eastAsia" w:ascii="仿宋" w:hAnsi="仿宋" w:eastAsia="仿宋" w:cs="仿宋"/>
                <w:b/>
                <w:color w:val="FF0000"/>
                <w:kern w:val="0"/>
                <w:sz w:val="24"/>
                <w:lang w:bidi="ar"/>
              </w:rPr>
              <w:t>1、腹泻症候群、呼吸道症候群、脑炎脑膜炎症候试剂需两种不同厂家的试剂分别各占50%；至少有一种试剂须在安徽省内医疗卫生系统中有不少于三家的供货业绩，需提供采购合同；</w:t>
            </w:r>
          </w:p>
          <w:p>
            <w:pPr>
              <w:pageBreakBefore w:val="0"/>
              <w:widowControl/>
              <w:kinsoku/>
              <w:wordWrap/>
              <w:overflowPunct/>
              <w:topLinePunct w:val="0"/>
              <w:bidi w:val="0"/>
              <w:spacing w:line="520" w:lineRule="exact"/>
              <w:textAlignment w:val="top"/>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2、试剂适用于 ABI系列QuantStudio™ 5 、 QuantStudio™ 7、QuantStudio™ 1Plus等荧光定量PCR扩增仪;   2、检测通道为FAM、VIC、ROX、CY5。</w:t>
            </w:r>
          </w:p>
        </w:tc>
      </w:tr>
      <w:tr>
        <w:tblPrEx>
          <w:tblCellMar>
            <w:top w:w="0" w:type="dxa"/>
            <w:left w:w="108" w:type="dxa"/>
            <w:bottom w:w="0" w:type="dxa"/>
            <w:right w:w="108" w:type="dxa"/>
          </w:tblCellMar>
        </w:tblPrEx>
        <w:trPr>
          <w:trHeight w:val="1100"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呼吸道症候群12种致病菌核酸检测试剂盒（荧光PCR法）</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w:t>
            </w:r>
          </w:p>
        </w:tc>
        <w:tc>
          <w:tcPr>
            <w:tcW w:w="214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用于肺炎链球菌、流感嗜血杆菌、百日咳鲍特菌、A族链球菌、肺炎克雷伯菌、肺炎支原体、肺炎衣原体、鹦鹉热衣原体、军团菌、隐球菌、曲霉菌、肺孢子菌的核酸检测。</w:t>
            </w:r>
          </w:p>
        </w:tc>
        <w:tc>
          <w:tcPr>
            <w:tcW w:w="896" w:type="pct"/>
            <w:vMerge w:val="continue"/>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pacing w:line="520" w:lineRule="exact"/>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864"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脑炎脑膜炎症候群11种致病菌核酸检测试剂盒（荧光PCR法）</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w:t>
            </w:r>
          </w:p>
        </w:tc>
        <w:tc>
          <w:tcPr>
            <w:tcW w:w="214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用于脑膜炎奈瑟菌、流感嗜血杆菌、肺炎链球菌、A族链球菌、大肠杆菌、金黄色葡萄球菌、单增李斯特菌、无乳链球菌、猪链球菌、结核分枝杆菌、隐球菌的核酸检测。</w:t>
            </w:r>
          </w:p>
        </w:tc>
        <w:tc>
          <w:tcPr>
            <w:tcW w:w="896" w:type="pct"/>
            <w:vMerge w:val="continue"/>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pacing w:line="520" w:lineRule="exact"/>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1152"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其他发热症候群15种致病菌核酸检测试剂盒（荧光PCR法）</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w:t>
            </w:r>
          </w:p>
        </w:tc>
        <w:tc>
          <w:tcPr>
            <w:tcW w:w="214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用于伤寒/副伤寒沙门菌、脑膜炎奈瑟菌、A族链球菌、伯氏疏螺旋体、立克次体、无形体、埃立克体、钩端螺旋体、猪链球菌、鼠疫耶尔森菌、布鲁氏菌、隐球菌、曲霉菌、肺孢子菌的核酸检测。</w:t>
            </w:r>
          </w:p>
        </w:tc>
        <w:tc>
          <w:tcPr>
            <w:tcW w:w="896" w:type="pct"/>
            <w:vMerge w:val="continue"/>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pacing w:line="520" w:lineRule="exact"/>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740"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核酸提取或者纯化试剂（细菌DNA提取试剂盒）</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w:t>
            </w:r>
          </w:p>
        </w:tc>
        <w:tc>
          <w:tcPr>
            <w:tcW w:w="3044"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52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试剂适用于硕世提取仪（SSNP-9600A）</w:t>
            </w:r>
          </w:p>
        </w:tc>
      </w:tr>
    </w:tbl>
    <w:p>
      <w:pPr>
        <w:pStyle w:val="5"/>
        <w:pageBreakBefore w:val="0"/>
        <w:kinsoku/>
        <w:wordWrap/>
        <w:overflowPunct/>
        <w:topLinePunct w:val="0"/>
        <w:bidi w:val="0"/>
        <w:spacing w:line="520" w:lineRule="exact"/>
        <w:jc w:val="left"/>
        <w:rPr>
          <w:rFonts w:hint="eastAsia" w:ascii="黑体" w:hAnsi="黑体" w:eastAsia="黑体" w:cs="黑体"/>
          <w:color w:val="000000"/>
          <w:kern w:val="0"/>
          <w:sz w:val="28"/>
          <w:szCs w:val="28"/>
          <w:lang w:val="zh-CN" w:bidi="ar"/>
        </w:rPr>
      </w:pPr>
    </w:p>
    <w:p>
      <w:pPr>
        <w:pStyle w:val="5"/>
        <w:pageBreakBefore w:val="0"/>
        <w:kinsoku/>
        <w:wordWrap/>
        <w:overflowPunct/>
        <w:topLinePunct w:val="0"/>
        <w:bidi w:val="0"/>
        <w:spacing w:line="520" w:lineRule="exact"/>
        <w:jc w:val="left"/>
        <w:rPr>
          <w:rFonts w:hint="eastAsia" w:ascii="仿宋" w:hAnsi="仿宋" w:eastAsia="仿宋" w:cs="仿宋"/>
          <w:snapToGrid w:val="0"/>
          <w:sz w:val="28"/>
          <w:szCs w:val="28"/>
        </w:rPr>
      </w:pPr>
      <w:r>
        <w:rPr>
          <w:rFonts w:hint="eastAsia" w:ascii="黑体" w:hAnsi="黑体" w:eastAsia="黑体" w:cs="黑体"/>
          <w:color w:val="000000"/>
          <w:kern w:val="0"/>
          <w:sz w:val="28"/>
          <w:szCs w:val="28"/>
          <w:lang w:val="zh-CN" w:bidi="ar"/>
        </w:rPr>
        <w:t>二、采购商务要求</w:t>
      </w:r>
    </w:p>
    <w:p>
      <w:pPr>
        <w:pageBreakBefore w:val="0"/>
        <w:kinsoku/>
        <w:wordWrap/>
        <w:overflowPunct/>
        <w:topLinePunct w:val="0"/>
        <w:bidi w:val="0"/>
        <w:spacing w:line="520" w:lineRule="exact"/>
        <w:ind w:firstLine="560" w:firstLineChars="200"/>
        <w:rPr>
          <w:rFonts w:hint="eastAsia" w:ascii="仿宋" w:hAnsi="仿宋" w:eastAsia="仿宋" w:cs="仿宋"/>
          <w:snapToGrid w:val="0"/>
          <w:sz w:val="28"/>
          <w:szCs w:val="28"/>
        </w:rPr>
      </w:pPr>
      <w:bookmarkStart w:id="0" w:name="_Toc24273"/>
      <w:r>
        <w:rPr>
          <w:rFonts w:hint="eastAsia" w:ascii="黑体" w:hAnsi="黑体" w:eastAsia="黑体" w:cs="黑体"/>
          <w:sz w:val="28"/>
          <w:szCs w:val="28"/>
        </w:rPr>
        <w:t>（一）报价要求：</w:t>
      </w:r>
      <w:r>
        <w:rPr>
          <w:rFonts w:hint="eastAsia" w:ascii="仿宋" w:hAnsi="仿宋" w:eastAsia="仿宋" w:cs="仿宋"/>
          <w:snapToGrid w:val="0"/>
          <w:sz w:val="28"/>
          <w:szCs w:val="28"/>
        </w:rPr>
        <w:t>供应商的报价应包括：人员费用、运输费用、设备费、管理费及税金等为完成询价文件规定全部内容所需的一切应有费用。</w:t>
      </w:r>
    </w:p>
    <w:p>
      <w:pPr>
        <w:pageBreakBefore w:val="0"/>
        <w:kinsoku/>
        <w:wordWrap/>
        <w:overflowPunct/>
        <w:topLinePunct w:val="0"/>
        <w:bidi w:val="0"/>
        <w:spacing w:line="520" w:lineRule="exact"/>
        <w:ind w:firstLine="560" w:firstLineChars="200"/>
        <w:rPr>
          <w:rFonts w:hint="eastAsia" w:ascii="仿宋" w:hAnsi="仿宋" w:eastAsia="仿宋" w:cs="仿宋"/>
          <w:snapToGrid w:val="0"/>
          <w:sz w:val="28"/>
          <w:szCs w:val="28"/>
          <w:lang w:val="zh-CN"/>
        </w:rPr>
      </w:pPr>
      <w:r>
        <w:rPr>
          <w:rFonts w:hint="eastAsia" w:ascii="黑体" w:hAnsi="黑体" w:eastAsia="黑体" w:cs="黑体"/>
          <w:snapToGrid w:val="0"/>
          <w:sz w:val="28"/>
          <w:szCs w:val="28"/>
        </w:rPr>
        <w:t>（二）交货地点：</w:t>
      </w:r>
      <w:r>
        <w:rPr>
          <w:rFonts w:hint="eastAsia" w:ascii="仿宋" w:hAnsi="仿宋" w:eastAsia="仿宋" w:cs="仿宋"/>
          <w:snapToGrid w:val="0"/>
          <w:sz w:val="28"/>
          <w:szCs w:val="28"/>
        </w:rPr>
        <w:t>采购人指定地点</w:t>
      </w:r>
    </w:p>
    <w:p>
      <w:pPr>
        <w:pageBreakBefore w:val="0"/>
        <w:kinsoku/>
        <w:wordWrap/>
        <w:overflowPunct/>
        <w:topLinePunct w:val="0"/>
        <w:bidi w:val="0"/>
        <w:spacing w:line="520" w:lineRule="exact"/>
        <w:ind w:firstLine="560" w:firstLineChars="200"/>
        <w:rPr>
          <w:rFonts w:hint="eastAsia" w:ascii="黑体" w:hAnsi="黑体" w:eastAsia="黑体" w:cs="黑体"/>
          <w:snapToGrid w:val="0"/>
          <w:sz w:val="28"/>
          <w:szCs w:val="28"/>
        </w:rPr>
      </w:pPr>
      <w:r>
        <w:rPr>
          <w:rFonts w:hint="eastAsia" w:ascii="黑体" w:hAnsi="黑体" w:eastAsia="黑体" w:cs="黑体"/>
          <w:snapToGrid w:val="0"/>
          <w:sz w:val="28"/>
          <w:szCs w:val="28"/>
        </w:rPr>
        <w:t>（三）售后服务</w:t>
      </w:r>
    </w:p>
    <w:p>
      <w:pPr>
        <w:pageBreakBefore w:val="0"/>
        <w:kinsoku/>
        <w:wordWrap/>
        <w:overflowPunct/>
        <w:topLinePunct w:val="0"/>
        <w:bidi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1.售后服务：依据商品的保修条款及售后服务条款，提供原厂质保，质保期按照国家规定，且不低于所供品牌向用户承诺的质保期限。询价文件另有约定的从其约定。质保期从货物验收合格后算起。</w:t>
      </w:r>
    </w:p>
    <w:p>
      <w:pPr>
        <w:pageBreakBefore w:val="0"/>
        <w:kinsoku/>
        <w:wordWrap/>
        <w:overflowPunct/>
        <w:topLinePunct w:val="0"/>
        <w:bidi w:val="0"/>
        <w:spacing w:line="520" w:lineRule="exact"/>
        <w:ind w:firstLine="560" w:firstLineChars="200"/>
        <w:rPr>
          <w:rFonts w:hint="eastAsia" w:ascii="仿宋" w:hAnsi="仿宋" w:eastAsia="仿宋" w:cs="仿宋"/>
          <w:snapToGrid w:val="0"/>
          <w:color w:val="FF0000"/>
          <w:sz w:val="28"/>
          <w:szCs w:val="28"/>
        </w:rPr>
      </w:pPr>
      <w:r>
        <w:rPr>
          <w:rFonts w:hint="eastAsia" w:ascii="仿宋" w:hAnsi="仿宋" w:eastAsia="仿宋" w:cs="仿宋"/>
          <w:sz w:val="28"/>
          <w:szCs w:val="28"/>
        </w:rPr>
        <w:t>2.供货要求：供应商成交以后，按相关要求、期限及业主要求供货，否则，采购人有权解除合同，由此造成的全部损失，由成交供应商全部承担。</w:t>
      </w:r>
    </w:p>
    <w:p>
      <w:pPr>
        <w:pageBreakBefore w:val="0"/>
        <w:kinsoku/>
        <w:wordWrap/>
        <w:overflowPunct/>
        <w:topLinePunct w:val="0"/>
        <w:bidi w:val="0"/>
        <w:spacing w:line="520" w:lineRule="exact"/>
        <w:ind w:firstLine="560" w:firstLineChars="200"/>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pageBreakBefore w:val="0"/>
        <w:kinsoku/>
        <w:wordWrap/>
        <w:overflowPunct/>
        <w:topLinePunct w:val="0"/>
        <w:bidi w:val="0"/>
        <w:spacing w:line="520" w:lineRule="exact"/>
        <w:ind w:firstLine="560" w:firstLineChars="200"/>
        <w:rPr>
          <w:rFonts w:hint="eastAsia" w:ascii="仿宋" w:hAnsi="仿宋" w:eastAsia="仿宋" w:cs="仿宋"/>
          <w:sz w:val="28"/>
          <w:szCs w:val="28"/>
        </w:rPr>
      </w:pPr>
      <w:r>
        <w:rPr>
          <w:rFonts w:hint="eastAsia" w:ascii="黑体" w:hAnsi="黑体" w:eastAsia="黑体" w:cs="黑体"/>
          <w:snapToGrid w:val="0"/>
          <w:sz w:val="28"/>
          <w:szCs w:val="28"/>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rPr>
        <w:t>15</w:t>
      </w:r>
      <w:r>
        <w:rPr>
          <w:rFonts w:hint="eastAsia" w:ascii="仿宋" w:hAnsi="仿宋" w:eastAsia="仿宋" w:cs="仿宋"/>
          <w:snapToGrid w:val="0"/>
          <w:sz w:val="28"/>
          <w:szCs w:val="28"/>
          <w:lang w:val="zh-CN"/>
        </w:rPr>
        <w:t>个工作日内结清全部货款。</w:t>
      </w:r>
    </w:p>
    <w:p>
      <w:pPr>
        <w:pageBreakBefore w:val="0"/>
        <w:kinsoku/>
        <w:wordWrap/>
        <w:overflowPunct/>
        <w:topLinePunct w:val="0"/>
        <w:bidi w:val="0"/>
        <w:spacing w:line="520" w:lineRule="exact"/>
        <w:ind w:firstLine="560" w:firstLineChars="200"/>
        <w:rPr>
          <w:rFonts w:hint="eastAsia" w:ascii="仿宋" w:hAnsi="仿宋" w:eastAsia="仿宋" w:cs="仿宋"/>
          <w:b/>
          <w:bCs/>
          <w:sz w:val="28"/>
          <w:szCs w:val="28"/>
        </w:rPr>
      </w:pPr>
      <w:r>
        <w:rPr>
          <w:rFonts w:hint="eastAsia" w:ascii="黑体" w:hAnsi="黑体" w:eastAsia="黑体" w:cs="黑体"/>
          <w:sz w:val="28"/>
          <w:szCs w:val="28"/>
        </w:rPr>
        <w:t>（五）</w:t>
      </w:r>
      <w:r>
        <w:rPr>
          <w:rFonts w:hint="eastAsia" w:ascii="仿宋" w:hAnsi="仿宋" w:eastAsia="仿宋" w:cs="仿宋"/>
          <w:snapToGrid w:val="0"/>
          <w:sz w:val="28"/>
          <w:szCs w:val="28"/>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pageBreakBefore w:val="0"/>
        <w:kinsoku/>
        <w:wordWrap/>
        <w:overflowPunct/>
        <w:topLinePunct w:val="0"/>
        <w:bidi w:val="0"/>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（六）验收方法及标准</w:t>
      </w:r>
    </w:p>
    <w:p>
      <w:pPr>
        <w:pageBreakBefore w:val="0"/>
        <w:kinsoku/>
        <w:wordWrap/>
        <w:overflowPunct/>
        <w:topLinePunct w:val="0"/>
        <w:bidi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按照签订的采购合同、技术要求及标准对每一环节、标准的履约情况进行验收。验收结束后，应当出具验收书，由双方共同签署。</w:t>
      </w:r>
    </w:p>
    <w:p>
      <w:pPr>
        <w:pageBreakBefore w:val="0"/>
        <w:kinsoku/>
        <w:wordWrap/>
        <w:overflowPunct/>
        <w:topLinePunct w:val="0"/>
        <w:bidi w:val="0"/>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（七）其它说明</w:t>
      </w:r>
    </w:p>
    <w:p>
      <w:pPr>
        <w:pStyle w:val="8"/>
        <w:pageBreakBefore w:val="0"/>
        <w:kinsoku/>
        <w:wordWrap/>
        <w:overflowPunct/>
        <w:topLinePunct w:val="0"/>
        <w:bidi w:val="0"/>
        <w:spacing w:beforeLines="0" w:after="0" w:line="520" w:lineRule="exact"/>
        <w:ind w:firstLine="560" w:firstLineChars="200"/>
        <w:rPr>
          <w:rFonts w:hint="eastAsia" w:ascii="仿宋" w:hAnsi="仿宋" w:eastAsia="仿宋" w:cs="仿宋"/>
          <w:szCs w:val="28"/>
        </w:rPr>
      </w:pPr>
      <w:r>
        <w:rPr>
          <w:rFonts w:hint="eastAsia" w:ascii="仿宋" w:hAnsi="仿宋" w:eastAsia="仿宋" w:cs="仿宋"/>
          <w:szCs w:val="28"/>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sectPr>
      <w:pgSz w:w="11906" w:h="16838"/>
      <w:pgMar w:top="1417" w:right="1134"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B1D506-531D-4537-8C8A-3F7B44C206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70B2231-48B0-4333-AE5F-6AFD7D3EDAD1}"/>
  </w:font>
  <w:font w:name="仿宋">
    <w:panose1 w:val="02010609060101010101"/>
    <w:charset w:val="86"/>
    <w:family w:val="modern"/>
    <w:pitch w:val="default"/>
    <w:sig w:usb0="800002BF" w:usb1="38CF7CFA" w:usb2="00000016" w:usb3="00000000" w:csb0="00040001" w:csb1="00000000"/>
    <w:embedRegular r:id="rId3" w:fontKey="{31B2A922-555F-4A1B-8A5A-477006BE2812}"/>
  </w:font>
  <w:font w:name="方正小标宋简体">
    <w:panose1 w:val="02000000000000000000"/>
    <w:charset w:val="86"/>
    <w:family w:val="auto"/>
    <w:pitch w:val="default"/>
    <w:sig w:usb0="00000001" w:usb1="08000000" w:usb2="00000000" w:usb3="00000000" w:csb0="00040000" w:csb1="00000000"/>
    <w:embedRegular r:id="rId4" w:fontKey="{CC7A6460-CAB5-4E9D-8D1E-3B55163ACD06}"/>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GFkOTI3OWE4NTA5NmRhN2Q0YTY1NmE3MjU5Y2IifQ=="/>
  </w:docVars>
  <w:rsids>
    <w:rsidRoot w:val="0C206FC7"/>
    <w:rsid w:val="0C206FC7"/>
    <w:rsid w:val="3CF0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szCs w:val="20"/>
    </w:rPr>
  </w:style>
  <w:style w:type="paragraph" w:customStyle="1" w:styleId="8">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2024-05-11T01:07:00Z</dcterms:created>
  <dc:creator>赤湖</dc:creator>
  <cp:lastModifiedBy>赤湖</cp:lastModifiedBy>
  <dcterms:modified xsi:type="dcterms:W3CDTF">2024-05-11T01:10:09Z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7579F127D66E4252A411B603712C3BDB_13</vt:lpwstr>
  </property>
</Properties>
</file>