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仿宋" w:hAnsi="仿宋" w:eastAsia="仿宋" w:cs="仿宋"/>
          <w:b w:val="0"/>
          <w:bCs w:val="0"/>
          <w:sz w:val="32"/>
          <w:szCs w:val="32"/>
        </w:rPr>
      </w:pPr>
      <w:r>
        <w:rPr>
          <w:rFonts w:hint="eastAsia" w:ascii="仿宋" w:hAnsi="仿宋" w:eastAsia="仿宋" w:cs="仿宋"/>
          <w:b/>
          <w:bCs/>
          <w:color w:val="000000"/>
          <w:kern w:val="0"/>
          <w:sz w:val="32"/>
          <w:szCs w:val="32"/>
          <w:lang w:bidi="ar"/>
        </w:rPr>
        <w:t>采购需求</w:t>
      </w:r>
    </w:p>
    <w:p>
      <w:pPr>
        <w:bidi w:val="0"/>
        <w:rPr>
          <w:rFonts w:hint="eastAsia" w:ascii="仿宋" w:hAnsi="仿宋" w:eastAsia="仿宋" w:cs="仿宋"/>
          <w:b/>
          <w:bCs/>
          <w:sz w:val="28"/>
          <w:szCs w:val="36"/>
          <w:lang w:val="en-US" w:eastAsia="zh-CN"/>
        </w:rPr>
      </w:pPr>
      <w:bookmarkStart w:id="0" w:name="_Toc285612596"/>
      <w:r>
        <w:rPr>
          <w:rFonts w:hint="eastAsia" w:ascii="仿宋" w:hAnsi="仿宋" w:eastAsia="仿宋" w:cs="仿宋"/>
          <w:b/>
          <w:bCs/>
          <w:sz w:val="28"/>
          <w:szCs w:val="36"/>
          <w:lang w:val="zh-CN"/>
        </w:rPr>
        <w:t>一、</w:t>
      </w:r>
      <w:r>
        <w:rPr>
          <w:rFonts w:hint="eastAsia" w:ascii="仿宋" w:hAnsi="仿宋" w:eastAsia="仿宋" w:cs="仿宋"/>
          <w:b/>
          <w:bCs/>
          <w:sz w:val="28"/>
          <w:szCs w:val="36"/>
          <w:lang w:val="en-US" w:eastAsia="zh-CN"/>
        </w:rPr>
        <w:t>校准设备清单</w:t>
      </w:r>
    </w:p>
    <w:p>
      <w:pPr>
        <w:bidi w:val="0"/>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结防科设备一览表</w:t>
      </w:r>
    </w:p>
    <w:tbl>
      <w:tblPr>
        <w:tblStyle w:val="11"/>
        <w:tblW w:w="10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795"/>
        <w:gridCol w:w="1811"/>
        <w:gridCol w:w="1414"/>
        <w:gridCol w:w="795"/>
        <w:gridCol w:w="971"/>
        <w:gridCol w:w="825"/>
        <w:gridCol w:w="1635"/>
        <w:gridCol w:w="795"/>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编号</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仪器设备名称</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出厂编号</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测量范围及准确度</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检定周期(年)</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计划检定</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时间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溯源方式</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检定</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HR40-HA2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结核病实验室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HR40-IIA2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结核病实验室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高压灭菌器</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J1206032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结核病实验室</w:t>
            </w:r>
          </w:p>
        </w:tc>
      </w:tr>
    </w:tbl>
    <w:p>
      <w:pPr>
        <w:bidi w:val="0"/>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微生物科设备一览表</w:t>
      </w:r>
    </w:p>
    <w:tbl>
      <w:tblPr>
        <w:tblStyle w:val="11"/>
        <w:tblW w:w="10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911"/>
        <w:gridCol w:w="1474"/>
        <w:gridCol w:w="750"/>
        <w:gridCol w:w="1170"/>
        <w:gridCol w:w="1110"/>
        <w:gridCol w:w="750"/>
        <w:gridCol w:w="1560"/>
        <w:gridCol w:w="780"/>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编号</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仪器设备</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名称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出厂</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编号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测量范围及准确度</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检定周期(年)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计划检定</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溯源方式</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检定</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WJ028</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1285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102292-727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艾滋病确证实验室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WJ033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080992665B</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艾滋病筛查实验室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WJ165</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病毒载量实验室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WJ177</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CD4检测室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WJ175</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食品致病菌实验室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WJ154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肠道致病菌实验室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WJ176</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分子生物学实验室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WJ153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BEOGG 100NO 0QHH8 2D2XN</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Ⅱ（A2）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霉菌实验室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WJ163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免疫学实验室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WJ063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080992667B</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Ⅱ</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PCR实验室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PCR实验室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WJ179</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细胞培养室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WJ178</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病毒分离室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WJ164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PCR实验室②(核酸提取室)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WJ217</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基因测序实验室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WJ133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A2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WJ213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超净工作台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PCR实验室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WJ132</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超净工作台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分子生物学实验室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千级洁净实验室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千级洁净实验室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万级洁净实验室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万级洁净实验室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WJ150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6R60DP</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卫生微生物室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WJ195</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MVS-83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洗消室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WJ230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6R60DP</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艾滋病实验室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WJ231</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立式压力蒸汽灭菌器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LMQ.C</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检测</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洗消室</w:t>
            </w:r>
          </w:p>
        </w:tc>
      </w:tr>
    </w:tbl>
    <w:p>
      <w:pPr>
        <w:bidi w:val="0"/>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体检门诊设备一览表</w:t>
      </w:r>
    </w:p>
    <w:tbl>
      <w:tblPr>
        <w:tblStyle w:val="11"/>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811"/>
        <w:gridCol w:w="1125"/>
        <w:gridCol w:w="1125"/>
        <w:gridCol w:w="990"/>
        <w:gridCol w:w="1065"/>
        <w:gridCol w:w="990"/>
        <w:gridCol w:w="1680"/>
        <w:gridCol w:w="780"/>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仪器设备名称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型号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生产厂家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测量范围及准确度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检定周期(年)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计划检定时间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溯源方式</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检定地点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生物安全柜</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HF-safe1500LC</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Heal Force</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校准</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体检门诊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立式灭菌器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LMQ.C型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山东</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新华</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2024年12月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校准</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体检门诊</w:t>
            </w: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仿宋" w:hAnsi="仿宋" w:eastAsia="仿宋" w:cs="仿宋"/>
          <w:b/>
          <w:bCs/>
          <w:kern w:val="0"/>
          <w:sz w:val="24"/>
          <w:szCs w:val="24"/>
          <w:lang w:val="zh-CN" w:eastAsia="zh-CN"/>
        </w:rPr>
      </w:pPr>
      <w:r>
        <w:rPr>
          <w:rFonts w:hint="eastAsia" w:ascii="仿宋" w:hAnsi="仿宋" w:eastAsia="仿宋" w:cs="仿宋"/>
          <w:b/>
          <w:bCs/>
          <w:kern w:val="0"/>
          <w:sz w:val="24"/>
          <w:szCs w:val="24"/>
          <w:lang w:val="zh-CN" w:eastAsia="zh-CN"/>
        </w:rPr>
        <w:t>二、检测项目需求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1.检测设备数量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仿宋" w:hAnsi="仿宋" w:eastAsia="仿宋" w:cs="仿宋"/>
          <w:b w:val="0"/>
          <w:bCs w:val="0"/>
          <w:color w:val="auto"/>
          <w:kern w:val="0"/>
          <w:sz w:val="24"/>
          <w:szCs w:val="24"/>
          <w:lang w:val="zh-CN" w:eastAsia="zh-CN"/>
        </w:rPr>
      </w:pPr>
      <w:r>
        <w:rPr>
          <w:rFonts w:hint="eastAsia" w:ascii="仿宋" w:hAnsi="仿宋" w:eastAsia="仿宋" w:cs="仿宋"/>
          <w:b/>
          <w:bCs/>
          <w:color w:val="auto"/>
          <w:kern w:val="0"/>
          <w:sz w:val="24"/>
          <w:szCs w:val="24"/>
          <w:highlight w:val="none"/>
          <w:lang w:val="zh-CN" w:eastAsia="zh-CN"/>
        </w:rPr>
        <w:t>检测生物安全柜、</w:t>
      </w:r>
      <w:r>
        <w:rPr>
          <w:rFonts w:hint="eastAsia" w:ascii="仿宋" w:hAnsi="仿宋" w:eastAsia="仿宋" w:cs="仿宋"/>
          <w:b/>
          <w:bCs/>
          <w:color w:val="auto"/>
          <w:kern w:val="0"/>
          <w:sz w:val="24"/>
          <w:szCs w:val="24"/>
          <w:highlight w:val="none"/>
          <w:lang w:val="en-US" w:eastAsia="zh-CN"/>
        </w:rPr>
        <w:t>超净工作台、洁净实验室、压力蒸汽灭菌器等共29个</w:t>
      </w:r>
      <w:r>
        <w:rPr>
          <w:rFonts w:hint="eastAsia" w:ascii="仿宋" w:hAnsi="仿宋" w:eastAsia="仿宋" w:cs="仿宋"/>
          <w:b/>
          <w:bCs/>
          <w:color w:val="auto"/>
          <w:kern w:val="0"/>
          <w:sz w:val="24"/>
          <w:szCs w:val="24"/>
          <w:highlight w:val="none"/>
          <w:lang w:val="zh-CN" w:eastAsia="zh-CN"/>
        </w:rPr>
        <w:t>，</w:t>
      </w:r>
      <w:r>
        <w:rPr>
          <w:rFonts w:hint="eastAsia" w:ascii="仿宋" w:hAnsi="仿宋" w:eastAsia="仿宋" w:cs="仿宋"/>
          <w:b w:val="0"/>
          <w:bCs w:val="0"/>
          <w:color w:val="auto"/>
          <w:kern w:val="0"/>
          <w:sz w:val="24"/>
          <w:szCs w:val="24"/>
          <w:lang w:val="zh-CN" w:eastAsia="zh-CN"/>
        </w:rPr>
        <w:t>检测完毕提供相关设备的CMA检测报告。</w:t>
      </w:r>
      <w:r>
        <w:rPr>
          <w:rFonts w:hint="eastAsia" w:ascii="仿宋" w:hAnsi="仿宋" w:eastAsia="仿宋" w:cs="仿宋"/>
          <w:b w:val="0"/>
          <w:bCs w:val="0"/>
          <w:color w:val="auto"/>
          <w:kern w:val="0"/>
          <w:sz w:val="24"/>
          <w:szCs w:val="24"/>
          <w:lang w:val="zh-CN" w:eastAsia="zh-CN"/>
        </w:rPr>
        <w:br w:type="textWrapping"/>
      </w:r>
      <w:r>
        <w:rPr>
          <w:rFonts w:hint="eastAsia" w:ascii="仿宋" w:hAnsi="仿宋" w:eastAsia="仿宋" w:cs="仿宋"/>
          <w:b w:val="0"/>
          <w:bCs w:val="0"/>
          <w:color w:val="auto"/>
          <w:kern w:val="0"/>
          <w:sz w:val="24"/>
          <w:szCs w:val="24"/>
          <w:lang w:val="zh-CN" w:eastAsia="zh-CN"/>
        </w:rPr>
        <w:t>     2.检测项目需求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b/>
          <w:bCs/>
          <w:color w:val="auto"/>
          <w:kern w:val="0"/>
          <w:sz w:val="24"/>
          <w:szCs w:val="24"/>
          <w:highlight w:val="none"/>
          <w:lang w:val="zh-CN" w:eastAsia="zh-CN"/>
        </w:rPr>
      </w:pPr>
      <w:r>
        <w:rPr>
          <w:rFonts w:hint="eastAsia" w:ascii="仿宋" w:hAnsi="仿宋" w:eastAsia="仿宋" w:cs="仿宋"/>
          <w:b w:val="0"/>
          <w:bCs w:val="0"/>
          <w:color w:val="auto"/>
          <w:kern w:val="0"/>
          <w:sz w:val="24"/>
          <w:szCs w:val="24"/>
          <w:lang w:val="zh-CN" w:eastAsia="zh-CN"/>
        </w:rPr>
        <w:t>生物安全柜的检测项目包括</w:t>
      </w:r>
      <w:r>
        <w:rPr>
          <w:rFonts w:hint="eastAsia" w:ascii="仿宋" w:hAnsi="仿宋" w:eastAsia="仿宋" w:cs="仿宋"/>
          <w:b/>
          <w:bCs/>
          <w:color w:val="auto"/>
          <w:kern w:val="0"/>
          <w:sz w:val="24"/>
          <w:szCs w:val="24"/>
          <w:highlight w:val="none"/>
          <w:lang w:val="zh-CN" w:eastAsia="zh-CN"/>
        </w:rPr>
        <w:t>：1）高效过滤器完整性、2）垂直气流平均速度、 3）工作窗口气流流向、4）工作窗口气流</w:t>
      </w:r>
      <w:r>
        <w:rPr>
          <w:rFonts w:hint="eastAsia" w:ascii="仿宋" w:hAnsi="仿宋" w:eastAsia="仿宋" w:cs="仿宋"/>
          <w:b/>
          <w:bCs/>
          <w:color w:val="auto"/>
          <w:kern w:val="0"/>
          <w:sz w:val="24"/>
          <w:szCs w:val="24"/>
          <w:highlight w:val="none"/>
          <w:lang w:val="en-US" w:eastAsia="zh-CN"/>
        </w:rPr>
        <w:t>平均速度、5）</w:t>
      </w:r>
      <w:r>
        <w:rPr>
          <w:rFonts w:hint="eastAsia" w:ascii="仿宋" w:hAnsi="仿宋" w:eastAsia="仿宋" w:cs="仿宋"/>
          <w:b/>
          <w:bCs/>
          <w:color w:val="auto"/>
          <w:kern w:val="0"/>
          <w:sz w:val="24"/>
          <w:szCs w:val="24"/>
          <w:highlight w:val="none"/>
          <w:lang w:val="zh-CN" w:eastAsia="zh-CN"/>
        </w:rPr>
        <w:t>工作区洁净度、</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eastAsia="zh-CN"/>
        </w:rPr>
        <w:t>噪声、</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val="zh-CN" w:eastAsia="zh-CN"/>
        </w:rPr>
        <w:t>照度。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超净工作台的检测项目包括：1）噪声、2）照度、3）洁净度、4）沉降菌、5）</w:t>
      </w:r>
      <w:r>
        <w:rPr>
          <w:rFonts w:hint="eastAsia" w:ascii="仿宋" w:hAnsi="仿宋" w:eastAsia="仿宋" w:cs="仿宋"/>
          <w:b/>
          <w:bCs/>
          <w:color w:val="auto"/>
          <w:kern w:val="0"/>
          <w:sz w:val="24"/>
          <w:szCs w:val="24"/>
          <w:highlight w:val="none"/>
          <w:lang w:val="zh-CN" w:eastAsia="zh-CN"/>
        </w:rPr>
        <w:t>高效过滤器完整性、</w:t>
      </w:r>
      <w:r>
        <w:rPr>
          <w:rFonts w:hint="eastAsia" w:ascii="仿宋" w:hAnsi="仿宋" w:eastAsia="仿宋" w:cs="仿宋"/>
          <w:b/>
          <w:bCs/>
          <w:color w:val="auto"/>
          <w:kern w:val="0"/>
          <w:sz w:val="24"/>
          <w:szCs w:val="24"/>
          <w:highlight w:val="none"/>
          <w:lang w:val="en-US" w:eastAsia="zh-CN"/>
        </w:rPr>
        <w:t>6）风速。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洁净实验室的检测项目包括：1）噪声、2）照度、3）洁净度、4）换气次数、5）压差、6）风速、7）沉降菌。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压力蒸汽灭菌器室的检测项目包括：1）升温、2）恒温、3）降温。</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240" w:firstLineChars="100"/>
        <w:textAlignment w:val="auto"/>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 3.其他事项：若检测过程中发现检测指标不合格，需及时通知我单位，以便联系安全柜生产厂家或授权代理商进行维修、调试或更换高效过滤器等。</w:t>
      </w:r>
      <w:r>
        <w:rPr>
          <w:rFonts w:hint="eastAsia" w:ascii="仿宋" w:hAnsi="仿宋" w:eastAsia="仿宋" w:cs="仿宋"/>
          <w:b w:val="0"/>
          <w:bCs w:val="0"/>
          <w:kern w:val="0"/>
          <w:sz w:val="24"/>
          <w:szCs w:val="24"/>
          <w:lang w:val="zh-CN" w:eastAsia="zh-CN"/>
        </w:rPr>
        <w:br w:type="textWrapping"/>
      </w:r>
      <w:r>
        <w:rPr>
          <w:rFonts w:hint="eastAsia" w:ascii="仿宋" w:hAnsi="仿宋" w:eastAsia="仿宋" w:cs="仿宋"/>
          <w:b w:val="0"/>
          <w:bCs w:val="0"/>
          <w:kern w:val="0"/>
          <w:sz w:val="24"/>
          <w:szCs w:val="24"/>
          <w:lang w:val="zh-CN" w:eastAsia="zh-CN"/>
        </w:rPr>
        <w:t>    4.注意事项：成交供应商提供上述生物安全柜的检测服务的检测人员应具备一定的专业背景或生物安全相关知识的培训，严格按规范程序操作。进入我中心实验区域检测时，必须严格遵守我中心的相关规章制度，并执行实验室生物安全相关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5.项目负责人(1名)：需要提供检测人员的资质证明，并且现场校准检测人员需与提供资质证明的人员保持一致 (须提供相关证书证明资料及供应商为其缴纳的社保证明资料)。</w:t>
      </w:r>
    </w:p>
    <w:p>
      <w:pPr>
        <w:spacing w:line="360" w:lineRule="auto"/>
        <w:ind w:firstLine="437"/>
        <w:rPr>
          <w:rFonts w:hint="eastAsia" w:ascii="宋体" w:hAnsi="宋体" w:eastAsia="宋体" w:cs="Times New Roman"/>
          <w:b/>
          <w:sz w:val="24"/>
          <w:szCs w:val="18"/>
          <w:lang w:eastAsia="zh-CN"/>
        </w:rPr>
      </w:pPr>
      <w:r>
        <w:rPr>
          <w:rFonts w:hint="eastAsia" w:ascii="宋体" w:hAnsi="宋体" w:eastAsia="宋体" w:cs="Times New Roman"/>
          <w:b/>
          <w:sz w:val="24"/>
          <w:szCs w:val="18"/>
          <w:lang w:val="en-US" w:eastAsia="zh-CN"/>
        </w:rPr>
        <w:t>三</w:t>
      </w:r>
      <w:r>
        <w:rPr>
          <w:rFonts w:hint="eastAsia" w:ascii="宋体" w:hAnsi="宋体" w:eastAsia="宋体" w:cs="Times New Roman"/>
          <w:b/>
          <w:sz w:val="24"/>
          <w:szCs w:val="18"/>
        </w:rPr>
        <w:t>、</w:t>
      </w:r>
      <w:r>
        <w:rPr>
          <w:rFonts w:hint="eastAsia" w:ascii="宋体" w:hAnsi="宋体" w:eastAsia="宋体" w:cs="Times New Roman"/>
          <w:b/>
          <w:sz w:val="24"/>
          <w:szCs w:val="18"/>
          <w:lang w:val="en-US" w:eastAsia="zh-CN"/>
        </w:rPr>
        <w:t>检测</w:t>
      </w:r>
      <w:r>
        <w:rPr>
          <w:rFonts w:hint="eastAsia" w:ascii="宋体" w:hAnsi="宋体" w:eastAsia="宋体" w:cs="Times New Roman"/>
          <w:b/>
          <w:sz w:val="24"/>
          <w:szCs w:val="18"/>
        </w:rPr>
        <w:t>要求：</w:t>
      </w:r>
    </w:p>
    <w:p>
      <w:pPr>
        <w:spacing w:line="360" w:lineRule="auto"/>
        <w:ind w:firstLine="437"/>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 xml:space="preserve">1. </w:t>
      </w:r>
      <w:r>
        <w:rPr>
          <w:rFonts w:hint="eastAsia" w:ascii="仿宋" w:hAnsi="仿宋" w:eastAsia="仿宋" w:cs="仿宋"/>
          <w:b/>
          <w:bCs/>
          <w:color w:val="auto"/>
          <w:kern w:val="0"/>
          <w:sz w:val="24"/>
          <w:szCs w:val="24"/>
          <w:highlight w:val="none"/>
          <w:lang w:val="en-US" w:eastAsia="zh-CN" w:bidi="ar-SA"/>
        </w:rPr>
        <w:t>检测地点在安庆市疾病预防控制中心检验大楼。</w:t>
      </w:r>
      <w:r>
        <w:rPr>
          <w:rFonts w:hint="eastAsia" w:ascii="仿宋" w:hAnsi="仿宋" w:eastAsia="仿宋" w:cs="仿宋"/>
          <w:b w:val="0"/>
          <w:bCs w:val="0"/>
          <w:color w:val="auto"/>
          <w:kern w:val="0"/>
          <w:sz w:val="24"/>
          <w:szCs w:val="24"/>
          <w:lang w:val="en-US" w:eastAsia="zh-CN" w:bidi="ar-SA"/>
        </w:rPr>
        <w:t>检</w:t>
      </w:r>
      <w:r>
        <w:rPr>
          <w:rFonts w:hint="eastAsia" w:ascii="仿宋" w:hAnsi="仿宋" w:eastAsia="仿宋" w:cs="仿宋"/>
          <w:b w:val="0"/>
          <w:bCs w:val="0"/>
          <w:kern w:val="0"/>
          <w:sz w:val="24"/>
          <w:szCs w:val="24"/>
          <w:lang w:val="en-US" w:eastAsia="zh-CN" w:bidi="ar-SA"/>
        </w:rPr>
        <w:t>测人员进入实验区域开展工作时，应严格按规范程序操作，并严格遵守我中心的相关规章制度及实验室生物安全的相关规定。（须提供承诺书，格式自拟） </w:t>
      </w:r>
    </w:p>
    <w:p>
      <w:pPr>
        <w:spacing w:line="360" w:lineRule="auto"/>
        <w:ind w:firstLine="437"/>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 若通过检测发现指标不合格，检测人员应及时通知我单位管理部门，协助联系生物安全柜生产厂家或授权代理商进行维修、调试。</w:t>
      </w:r>
    </w:p>
    <w:p>
      <w:pPr>
        <w:spacing w:line="360" w:lineRule="auto"/>
        <w:ind w:firstLine="437"/>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注：投标人须承诺（承诺</w:t>
      </w:r>
      <w:bookmarkStart w:id="1" w:name="_GoBack"/>
      <w:bookmarkEnd w:id="1"/>
      <w:r>
        <w:rPr>
          <w:rFonts w:hint="eastAsia" w:ascii="仿宋" w:hAnsi="仿宋" w:eastAsia="仿宋" w:cs="仿宋"/>
          <w:b w:val="0"/>
          <w:bCs w:val="0"/>
          <w:kern w:val="0"/>
          <w:sz w:val="24"/>
          <w:szCs w:val="24"/>
          <w:lang w:val="en-US" w:eastAsia="zh-CN" w:bidi="ar-SA"/>
        </w:rPr>
        <w:t>函格式自拟）完全响应上述采购需求，并根据YY0569-2011《Ⅱ级 生物安全柜》和JJF1815-2020 《Ⅱ级生物安全柜校准规范》等相关规定，在检测完毕后出具省级以上人民政府计量行政部门认可的CMA检测报告或CNAS认可的校准报告，否则响应文件无效。</w:t>
      </w:r>
    </w:p>
    <w:p>
      <w:pPr>
        <w:spacing w:line="400" w:lineRule="atLeast"/>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附件：</w:t>
      </w:r>
    </w:p>
    <w:p>
      <w:pPr>
        <w:spacing w:afterLines="50"/>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微生物科仪器检测校准</w:t>
      </w:r>
      <w:r>
        <w:rPr>
          <w:rFonts w:hint="eastAsia" w:ascii="宋体" w:hAnsi="宋体" w:eastAsia="宋体" w:cs="宋体"/>
          <w:sz w:val="24"/>
          <w:szCs w:val="24"/>
        </w:rPr>
        <w:t>一览表：</w:t>
      </w:r>
    </w:p>
    <w:tbl>
      <w:tblPr>
        <w:tblStyle w:val="11"/>
        <w:tblW w:w="8189" w:type="dxa"/>
        <w:tblInd w:w="93" w:type="dxa"/>
        <w:tblLayout w:type="autofit"/>
        <w:tblCellMar>
          <w:top w:w="0" w:type="dxa"/>
          <w:left w:w="108" w:type="dxa"/>
          <w:bottom w:w="0" w:type="dxa"/>
          <w:right w:w="108" w:type="dxa"/>
        </w:tblCellMar>
      </w:tblPr>
      <w:tblGrid>
        <w:gridCol w:w="1210"/>
        <w:gridCol w:w="1702"/>
        <w:gridCol w:w="3234"/>
        <w:gridCol w:w="2043"/>
      </w:tblGrid>
      <w:tr>
        <w:tblPrEx>
          <w:tblCellMar>
            <w:top w:w="0" w:type="dxa"/>
            <w:left w:w="108" w:type="dxa"/>
            <w:bottom w:w="0" w:type="dxa"/>
            <w:right w:w="108" w:type="dxa"/>
          </w:tblCellMar>
        </w:tblPrEx>
        <w:trPr>
          <w:trHeight w:val="427" w:hRule="atLeast"/>
        </w:trPr>
        <w:tc>
          <w:tcPr>
            <w:tcW w:w="1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科室</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设备编号</w:t>
            </w:r>
          </w:p>
        </w:tc>
        <w:tc>
          <w:tcPr>
            <w:tcW w:w="32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品牌型号</w:t>
            </w:r>
          </w:p>
        </w:tc>
        <w:tc>
          <w:tcPr>
            <w:tcW w:w="20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存放地点</w:t>
            </w:r>
          </w:p>
        </w:tc>
      </w:tr>
      <w:tr>
        <w:tblPrEx>
          <w:tblCellMar>
            <w:top w:w="0" w:type="dxa"/>
            <w:left w:w="108" w:type="dxa"/>
            <w:bottom w:w="0" w:type="dxa"/>
            <w:right w:w="108" w:type="dxa"/>
          </w:tblCellMar>
        </w:tblPrEx>
        <w:trPr>
          <w:trHeight w:val="427" w:hRule="atLeast"/>
        </w:trPr>
        <w:tc>
          <w:tcPr>
            <w:tcW w:w="1210" w:type="dxa"/>
            <w:tcBorders>
              <w:top w:val="nil"/>
              <w:left w:val="single" w:color="auto" w:sz="4" w:space="0"/>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1702"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3234"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2043"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r>
      <w:tr>
        <w:tblPrEx>
          <w:tblCellMar>
            <w:top w:w="0" w:type="dxa"/>
            <w:left w:w="108" w:type="dxa"/>
            <w:bottom w:w="0" w:type="dxa"/>
            <w:right w:w="108" w:type="dxa"/>
          </w:tblCellMar>
        </w:tblPrEx>
        <w:trPr>
          <w:trHeight w:val="427" w:hRule="atLeast"/>
        </w:trPr>
        <w:tc>
          <w:tcPr>
            <w:tcW w:w="1210" w:type="dxa"/>
            <w:tcBorders>
              <w:top w:val="nil"/>
              <w:left w:val="single" w:color="auto" w:sz="4" w:space="0"/>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1702"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3234"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2043"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r>
      <w:tr>
        <w:tblPrEx>
          <w:tblCellMar>
            <w:top w:w="0" w:type="dxa"/>
            <w:left w:w="108" w:type="dxa"/>
            <w:bottom w:w="0" w:type="dxa"/>
            <w:right w:w="108" w:type="dxa"/>
          </w:tblCellMar>
        </w:tblPrEx>
        <w:trPr>
          <w:trHeight w:val="506" w:hRule="atLeast"/>
        </w:trPr>
        <w:tc>
          <w:tcPr>
            <w:tcW w:w="1210" w:type="dxa"/>
            <w:tcBorders>
              <w:top w:val="nil"/>
              <w:left w:val="single" w:color="auto" w:sz="4" w:space="0"/>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1702"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3234"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2043"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r>
      <w:tr>
        <w:tblPrEx>
          <w:tblCellMar>
            <w:top w:w="0" w:type="dxa"/>
            <w:left w:w="108" w:type="dxa"/>
            <w:bottom w:w="0" w:type="dxa"/>
            <w:right w:w="108" w:type="dxa"/>
          </w:tblCellMar>
        </w:tblPrEx>
        <w:trPr>
          <w:trHeight w:val="506" w:hRule="atLeast"/>
        </w:trPr>
        <w:tc>
          <w:tcPr>
            <w:tcW w:w="1210" w:type="dxa"/>
            <w:tcBorders>
              <w:top w:val="nil"/>
              <w:left w:val="single" w:color="auto" w:sz="4" w:space="0"/>
              <w:bottom w:val="single" w:color="auto" w:sz="4" w:space="0"/>
              <w:right w:val="single" w:color="auto" w:sz="4" w:space="0"/>
            </w:tcBorders>
            <w:noWrap/>
            <w:vAlign w:val="center"/>
          </w:tcPr>
          <w:p>
            <w:pPr>
              <w:jc w:val="both"/>
              <w:rPr>
                <w:rFonts w:ascii="黑体" w:hAnsi="黑体" w:eastAsia="黑体" w:cs="宋体"/>
                <w:color w:val="000000"/>
                <w:sz w:val="20"/>
              </w:rPr>
            </w:pPr>
          </w:p>
        </w:tc>
        <w:tc>
          <w:tcPr>
            <w:tcW w:w="1702"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3234"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c>
          <w:tcPr>
            <w:tcW w:w="2043"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sz w:val="20"/>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kern w:val="0"/>
          <w:sz w:val="24"/>
          <w:szCs w:val="24"/>
          <w:lang w:val="zh-CN" w:eastAsia="zh-CN"/>
        </w:rPr>
      </w:pPr>
      <w:r>
        <w:rPr>
          <w:rFonts w:hint="eastAsia" w:ascii="仿宋" w:hAnsi="仿宋" w:eastAsia="仿宋" w:cs="仿宋"/>
          <w:b/>
          <w:bCs/>
          <w:kern w:val="0"/>
          <w:sz w:val="24"/>
          <w:szCs w:val="24"/>
          <w:lang w:val="zh-CN" w:eastAsia="zh-CN"/>
        </w:rPr>
        <w:t>四、其它要求</w:t>
      </w:r>
    </w:p>
    <w:bookmarkEnd w:id="0"/>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（一）报价要求：</w:t>
      </w:r>
      <w:r>
        <w:rPr>
          <w:rFonts w:hint="eastAsia" w:ascii="仿宋" w:hAnsi="仿宋" w:eastAsia="仿宋" w:cs="仿宋"/>
          <w:sz w:val="24"/>
          <w:szCs w:val="24"/>
        </w:rPr>
        <w:t>供应商的报价应包括：人员费用、运输费用、设备费、管理费及税金等为完成</w:t>
      </w:r>
      <w:r>
        <w:rPr>
          <w:rFonts w:hint="eastAsia" w:ascii="仿宋" w:hAnsi="仿宋" w:eastAsia="仿宋" w:cs="仿宋"/>
          <w:sz w:val="24"/>
          <w:szCs w:val="24"/>
          <w:lang w:eastAsia="zh-CN"/>
        </w:rPr>
        <w:t>议价采购</w:t>
      </w:r>
      <w:r>
        <w:rPr>
          <w:rFonts w:hint="eastAsia" w:ascii="仿宋" w:hAnsi="仿宋" w:eastAsia="仿宋" w:cs="仿宋"/>
          <w:sz w:val="24"/>
          <w:szCs w:val="24"/>
        </w:rPr>
        <w:t>文件规定全部内容所需的一切应有费用。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napToGrid w:val="0"/>
          <w:sz w:val="24"/>
          <w:szCs w:val="24"/>
          <w:lang w:val="zh-CN"/>
        </w:rPr>
      </w:pPr>
      <w:r>
        <w:rPr>
          <w:rFonts w:hint="eastAsia" w:ascii="仿宋" w:hAnsi="仿宋" w:eastAsia="仿宋" w:cs="仿宋"/>
          <w:b/>
          <w:bCs/>
          <w:snapToGrid w:val="0"/>
          <w:sz w:val="24"/>
          <w:szCs w:val="24"/>
        </w:rPr>
        <w:t>（二）</w:t>
      </w:r>
      <w:r>
        <w:rPr>
          <w:rFonts w:hint="eastAsia" w:ascii="仿宋" w:hAnsi="仿宋" w:eastAsia="仿宋" w:cs="仿宋"/>
          <w:b/>
          <w:bCs/>
          <w:snapToGrid w:val="0"/>
          <w:sz w:val="24"/>
          <w:szCs w:val="24"/>
          <w:lang w:eastAsia="zh-CN"/>
        </w:rPr>
        <w:t>服务</w:t>
      </w:r>
      <w:r>
        <w:rPr>
          <w:rFonts w:hint="eastAsia" w:ascii="仿宋" w:hAnsi="仿宋" w:eastAsia="仿宋" w:cs="仿宋"/>
          <w:b/>
          <w:bCs/>
          <w:snapToGrid w:val="0"/>
          <w:sz w:val="24"/>
          <w:szCs w:val="24"/>
        </w:rPr>
        <w:t>地点：采购人指定地点</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napToGrid w:val="0"/>
          <w:sz w:val="24"/>
          <w:szCs w:val="24"/>
          <w:highlight w:val="none"/>
          <w:lang w:val="zh-CN"/>
        </w:rPr>
      </w:pPr>
      <w:r>
        <w:rPr>
          <w:rFonts w:hint="eastAsia" w:ascii="仿宋" w:hAnsi="仿宋" w:eastAsia="仿宋" w:cs="仿宋"/>
          <w:b/>
          <w:bCs/>
          <w:snapToGrid w:val="0"/>
          <w:sz w:val="24"/>
          <w:szCs w:val="24"/>
          <w:lang w:eastAsia="zh-CN"/>
        </w:rPr>
        <w:t>（三）</w:t>
      </w:r>
      <w:r>
        <w:rPr>
          <w:rFonts w:hint="eastAsia" w:ascii="仿宋" w:hAnsi="仿宋" w:eastAsia="仿宋" w:cs="仿宋"/>
          <w:b/>
          <w:bCs/>
          <w:snapToGrid w:val="0"/>
          <w:sz w:val="24"/>
          <w:szCs w:val="24"/>
        </w:rPr>
        <w:t>付款及结算方式：</w:t>
      </w:r>
      <w:r>
        <w:rPr>
          <w:rFonts w:hint="eastAsia" w:ascii="仿宋" w:hAnsi="仿宋" w:eastAsia="仿宋" w:cs="仿宋"/>
          <w:sz w:val="24"/>
          <w:szCs w:val="24"/>
          <w:highlight w:val="none"/>
          <w:lang w:eastAsia="zh-CN"/>
        </w:rPr>
        <w:t>服务结束后由成交单位申请</w:t>
      </w:r>
      <w:r>
        <w:rPr>
          <w:rFonts w:hint="eastAsia" w:ascii="仿宋" w:hAnsi="仿宋" w:eastAsia="仿宋" w:cs="仿宋"/>
          <w:snapToGrid w:val="0"/>
          <w:sz w:val="24"/>
          <w:szCs w:val="24"/>
          <w:highlight w:val="none"/>
          <w:lang w:val="zh-CN"/>
        </w:rPr>
        <w:t>，成交供应商按采购人要求凭国家正式发票及相关证明文件向采购人申请付款，采购人收到申请后在</w:t>
      </w:r>
      <w:r>
        <w:rPr>
          <w:rFonts w:hint="eastAsia" w:ascii="仿宋" w:hAnsi="仿宋" w:eastAsia="仿宋" w:cs="仿宋"/>
          <w:snapToGrid w:val="0"/>
          <w:sz w:val="24"/>
          <w:szCs w:val="24"/>
          <w:highlight w:val="none"/>
        </w:rPr>
        <w:t>15</w:t>
      </w:r>
      <w:r>
        <w:rPr>
          <w:rFonts w:hint="eastAsia" w:ascii="仿宋" w:hAnsi="仿宋" w:eastAsia="仿宋" w:cs="仿宋"/>
          <w:snapToGrid w:val="0"/>
          <w:sz w:val="24"/>
          <w:szCs w:val="24"/>
          <w:highlight w:val="none"/>
          <w:lang w:val="zh-CN"/>
        </w:rPr>
        <w:t>个工作日内结清全部费用。</w:t>
      </w:r>
    </w:p>
    <w:p>
      <w:pPr>
        <w:pStyle w:val="9"/>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仿宋" w:hAnsi="仿宋" w:eastAsia="仿宋" w:cs="仿宋"/>
          <w:sz w:val="24"/>
          <w:szCs w:val="24"/>
          <w:highlight w:val="yellow"/>
        </w:rPr>
      </w:pPr>
      <w:r>
        <w:rPr>
          <w:rFonts w:hint="default" w:ascii="仿宋" w:hAnsi="仿宋" w:eastAsia="仿宋" w:cs="仿宋"/>
          <w:snapToGrid w:val="0"/>
          <w:sz w:val="24"/>
          <w:szCs w:val="24"/>
          <w:highlight w:val="none"/>
          <w:lang w:val="en-US"/>
        </w:rPr>
        <w:t>（四）成交供应商接到采购人服务指令后，在2个工作日内提供所需服务，无不正当理由拒绝服务的，采购人将终止合同重新采购或选择第二名成交候选人提供服务，造成采购人损失的，由成交供应商赔偿。</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（四）验收方法及标准</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按照签订的采购合同、技术要求及标准对每一环节、标准的履约情况进行验收。验收结束后，应当出具验收书，由双方共同签署。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A49A2"/>
    <w:multiLevelType w:val="multilevel"/>
    <w:tmpl w:val="2F2A49A2"/>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05922730"/>
    <w:rsid w:val="02E02228"/>
    <w:rsid w:val="045E4692"/>
    <w:rsid w:val="05922730"/>
    <w:rsid w:val="06F469BB"/>
    <w:rsid w:val="0A5C2211"/>
    <w:rsid w:val="106250A3"/>
    <w:rsid w:val="10BC7AE9"/>
    <w:rsid w:val="13C16619"/>
    <w:rsid w:val="20817646"/>
    <w:rsid w:val="210C5CAC"/>
    <w:rsid w:val="21956EA7"/>
    <w:rsid w:val="29430597"/>
    <w:rsid w:val="2B454B53"/>
    <w:rsid w:val="2D0E480C"/>
    <w:rsid w:val="2DF172B8"/>
    <w:rsid w:val="32346F6E"/>
    <w:rsid w:val="338F0990"/>
    <w:rsid w:val="358C2805"/>
    <w:rsid w:val="39DA0B3A"/>
    <w:rsid w:val="3C4C5ED9"/>
    <w:rsid w:val="3D7D7E78"/>
    <w:rsid w:val="40584B2F"/>
    <w:rsid w:val="51B7313F"/>
    <w:rsid w:val="520B162D"/>
    <w:rsid w:val="558A781D"/>
    <w:rsid w:val="55E324F9"/>
    <w:rsid w:val="5C245548"/>
    <w:rsid w:val="69F65D30"/>
    <w:rsid w:val="6A3F4EDF"/>
    <w:rsid w:val="711D2041"/>
    <w:rsid w:val="71645CEB"/>
    <w:rsid w:val="7ED82436"/>
    <w:rsid w:val="7F3F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autoRedefine/>
    <w:qFormat/>
    <w:uiPriority w:val="0"/>
    <w:pPr>
      <w:keepNext/>
      <w:widowControl/>
      <w:numPr>
        <w:ilvl w:val="0"/>
        <w:numId w:val="1"/>
      </w:numPr>
      <w:ind w:left="0" w:firstLine="0"/>
      <w:jc w:val="center"/>
      <w:outlineLvl w:val="0"/>
    </w:pPr>
    <w:rPr>
      <w:rFonts w:ascii="宋体" w:hAnsi="宋体" w:eastAsia="宋体" w:cs="宋体"/>
      <w:b/>
      <w:kern w:val="0"/>
      <w:sz w:val="28"/>
      <w:szCs w:val="20"/>
    </w:rPr>
  </w:style>
  <w:style w:type="paragraph" w:styleId="3">
    <w:name w:val="heading 2"/>
    <w:basedOn w:val="1"/>
    <w:next w:val="4"/>
    <w:link w:val="14"/>
    <w:semiHidden/>
    <w:unhideWhenUsed/>
    <w:qFormat/>
    <w:uiPriority w:val="0"/>
    <w:pPr>
      <w:keepNext/>
      <w:keepLines/>
      <w:widowControl/>
      <w:spacing w:line="360" w:lineRule="auto"/>
      <w:jc w:val="center"/>
      <w:outlineLvl w:val="1"/>
    </w:pPr>
    <w:rPr>
      <w:rFonts w:ascii="Arial" w:hAnsi="Arial" w:eastAsia="宋体" w:cs="Times New Roman"/>
      <w:b/>
      <w:kern w:val="0"/>
      <w:sz w:val="32"/>
    </w:rPr>
  </w:style>
  <w:style w:type="paragraph" w:styleId="5">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2">
    <w:name w:val="Default Paragraph Font"/>
    <w:autoRedefine/>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Body Text"/>
    <w:basedOn w:val="1"/>
    <w:uiPriority w:val="0"/>
    <w:pPr>
      <w:spacing w:after="120"/>
    </w:pPr>
  </w:style>
  <w:style w:type="paragraph" w:styleId="7">
    <w:name w:val="Body Text Indent"/>
    <w:basedOn w:val="1"/>
    <w:autoRedefine/>
    <w:qFormat/>
    <w:uiPriority w:val="0"/>
    <w:pPr>
      <w:spacing w:after="120" w:afterLines="0" w:afterAutospacing="0"/>
      <w:ind w:left="420" w:leftChars="200"/>
    </w:p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6"/>
    <w:unhideWhenUsed/>
    <w:qFormat/>
    <w:uiPriority w:val="99"/>
    <w:pPr>
      <w:spacing w:after="120"/>
      <w:ind w:firstLine="420" w:firstLineChars="100"/>
    </w:pPr>
    <w:rPr>
      <w:sz w:val="21"/>
    </w:rPr>
  </w:style>
  <w:style w:type="paragraph" w:styleId="10">
    <w:name w:val="Body Text First Indent 2"/>
    <w:basedOn w:val="7"/>
    <w:autoRedefine/>
    <w:qFormat/>
    <w:uiPriority w:val="0"/>
    <w:pPr>
      <w:ind w:firstLine="420" w:firstLineChars="200"/>
    </w:pPr>
  </w:style>
  <w:style w:type="character" w:customStyle="1" w:styleId="13">
    <w:name w:val="标题 1 字符"/>
    <w:link w:val="2"/>
    <w:autoRedefine/>
    <w:qFormat/>
    <w:uiPriority w:val="0"/>
    <w:rPr>
      <w:rFonts w:ascii="宋体" w:hAnsi="宋体" w:eastAsia="宋体" w:cs="宋体"/>
      <w:b/>
      <w:bCs/>
      <w:snapToGrid w:val="0"/>
      <w:color w:val="000000"/>
      <w:kern w:val="44"/>
      <w:sz w:val="32"/>
      <w:szCs w:val="44"/>
      <w:lang w:eastAsia="en-US"/>
    </w:rPr>
  </w:style>
  <w:style w:type="character" w:customStyle="1" w:styleId="14">
    <w:name w:val="标题 2 Char"/>
    <w:basedOn w:val="12"/>
    <w:link w:val="3"/>
    <w:autoRedefine/>
    <w:semiHidden/>
    <w:qFormat/>
    <w:uiPriority w:val="9"/>
    <w:rPr>
      <w:rFonts w:ascii="Arial" w:hAnsi="Arial"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2024-12-13T00:57:00Z</dcterms:created>
  <dc:creator>周敏</dc:creator>
  <cp:lastModifiedBy>周敏</cp:lastModifiedBy>
  <dcterms:modified xsi:type="dcterms:W3CDTF">2025-01-06T01:45:33Z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E987810CA10E412C92EAF8B7FFA242A3_11</vt:lpwstr>
  </property>
</Properties>
</file>