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仿宋" w:hAnsi="仿宋" w:eastAsia="仿宋" w:cs="仿宋"/>
          <w:b w:val="0"/>
          <w:bCs w:val="0"/>
          <w:color w:val="1D1D2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1D1D20"/>
          <w:kern w:val="0"/>
          <w:sz w:val="32"/>
          <w:szCs w:val="32"/>
          <w:highlight w:val="none"/>
          <w:lang w:bidi="ar"/>
        </w:rPr>
        <w:t>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一、技术参数要求</w:t>
      </w:r>
    </w:p>
    <w:tbl>
      <w:tblPr>
        <w:tblStyle w:val="9"/>
        <w:tblW w:w="5571" w:type="pct"/>
        <w:tblInd w:w="-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64"/>
        <w:gridCol w:w="739"/>
        <w:gridCol w:w="960"/>
        <w:gridCol w:w="496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作用</w:t>
            </w:r>
          </w:p>
        </w:tc>
        <w:tc>
          <w:tcPr>
            <w:tcW w:w="2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X射线机多功能质量检测仪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主机+探头</w:t>
            </w:r>
          </w:p>
        </w:tc>
        <w:tc>
          <w:tcPr>
            <w:tcW w:w="2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用于各种医用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射线机的质量控制检测，包括普通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光透视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拍片机、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、各种乳腺机、牙科机、便携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射线机、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DSA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spacing w:line="240" w:lineRule="auto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系统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配置要求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多功能读取装置1台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摄影透视牙科多功能探测器1个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shd w:val="clear" w:color="auto" w:fill="auto"/>
              </w:rPr>
              <w:t>牙科剂量面积乘积电离室1个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局域网无线Wifi单元模块1个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专用软件1套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平板电脑1台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便携箱</w:t>
            </w:r>
          </w:p>
          <w:p>
            <w:pPr>
              <w:spacing w:line="240" w:lineRule="auto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、技术参数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要求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用于评价各种X线机，包括：拍片机、透视机、脉冲透视机、牙科机、全景牙科机、便携 X-线机、CR/DR 机、乳腺摄影机和CT机等。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检测指标：千伏、剂量、剂量率、照射量/脉冲、脉冲、曝光时间、半值层、帧率、剂量/帧、总滤过、波形等参数。</w:t>
            </w:r>
          </w:p>
          <w:p>
            <w:pPr>
              <w:pStyle w:val="13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摄影透视牙科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多功能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探测器：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3.3.1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能量范围：50kV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~ 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50kV，精度≤±2%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3.3.2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剂量范围：80nGy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~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90Gy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3.3.3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剂量率范围：100nGy/s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~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180mGy/s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3.3.4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总过滤：3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~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35mmAl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3.3.5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半值层过滤：1.5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~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12.0mmAl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3.3.6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曝光时间：1ms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~ 30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0s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牙科剂量面积乘积电离室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3.4.1、★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有效区域面积：≤60cm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3.4.2、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剂量率范围：11pGym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/s ~ 110μGym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/s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3.4.3、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剂量范围：56pGym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~ 290mGym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3.4.4、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剂量率响应：比额定剂量率规格高出部分&lt;5% 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3.4.5、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校准精度：≤±5%</w:t>
            </w:r>
          </w:p>
          <w:p>
            <w:pP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3.4.6、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能量响应：≤±5%</w:t>
            </w:r>
          </w:p>
          <w:p>
            <w:pPr>
              <w:pStyle w:val="13"/>
              <w:ind w:firstLine="0" w:firstLineChars="0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3.4.7、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含牙科专用适配测量支架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、★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配备传输数据的局域网无线 Wifi 单元模块，可与多功能读取装置捆绑式组合，通过 Wifi 传输数据至 PC 端；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提供证明材料）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pStyle w:val="13"/>
              <w:spacing w:line="240" w:lineRule="auto"/>
              <w:ind w:firstLine="0" w:firstLineChars="0"/>
              <w:jc w:val="both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配备专用软件，提供 Windows、Android 等不同操作系统的软件，一次曝光最多可同时显示 不少于14个参数；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、★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数据采集以及记录均可生成表格，可记录以Excel形式输出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提供软件截图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3.8 探头和主机须为同一品牌，以确保兼容性。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核心产品，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探头和主机须为同一品牌，以确保兼容性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普通X射线摄影设备质量控制检测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模体</w:t>
            </w:r>
          </w:p>
        </w:tc>
        <w:tc>
          <w:tcPr>
            <w:tcW w:w="2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用于各种医用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射线机的质量控制检测，诸如光野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照射野一致性检测以及聚焦滤线栅与有用线束中心对准等。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2.系统配置要求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1、直尺1把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2、光野/照射野一致性检测板及垂直度检测筒1套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3、滤线栅中心对准测试板1个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4、铅板1个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5、铝板6个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2.6、其他必要配件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3、技术参数要求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3.1.直尺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3.1.1最小刻度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，有效长度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500mm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3.2.光野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照射野一致性检测板及垂直度检测筒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3.2.1 准直筒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筒高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，筒上端面中心设有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φ0.5mm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钢珠一粒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垂直度指示用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，两粒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φ0.5mm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钢珠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珠间距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，检测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SID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，筒底盘下表面设两个同心圆，圆心位于检测筒垂直中心线上，两同心圆的其直径分别为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φ 15.0mm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φ 30.0mm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3.2.2检测板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长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240mm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宽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，表面设有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180mm×140mm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光野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照射野一致性检测刻度铅线，检测板中心位开有检测筒底盘和线对卡定位八角孔。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3.3.滤线栅中心对准测试板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3.3.1由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块铅板组成，铅板上有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个大孔，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个小孔，大孔径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，孔间距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；小孔直径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3.3.2长铅板尺寸：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230mm×90mm×3mm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3.3.3小铅板尺寸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90 mm×60 mm×3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3.4.铅板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3.4.1铅板尺寸：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150mm×150mm×2mm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3.5.铝板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3.5.1铝板尺寸：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20cm×20cm×1mm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块；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3.5.2铝板尺寸：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18cm×18cm×2cm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块。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透视设备质量控制检测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模体</w:t>
            </w:r>
          </w:p>
        </w:tc>
        <w:tc>
          <w:tcPr>
            <w:tcW w:w="2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用于各种医用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射线机的质量控制检测，诸如透视设备透视受检者入射体表空气比释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动能率典型值、最大值以及透视和摄影设备防护检测等。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系统配置要求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1、标准水模体 1 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2、屏幕亮度计 1 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3、低对比度检测模体 1 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4、黑白密度计 1 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5、铜板 1 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6、铝板 1 个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技术性能指标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3.1.标准水模体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3.1.2水箱尺寸：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300mm×300mm×200mm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3.1.3配套铜板：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300mm×300mm×1.5mm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3.2.屏幕亮度计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3.2.1硅光电探测器，有数字保持功能；响应时间：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秒 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3.2.2测量范围：（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0.001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1.999×103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cd/m2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3.3.低对比度检测模体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3.3.1两块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18cm×18cm×2cm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的铝板；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3.3.2一块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18cm×18cm×0.8mm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的铝板，中间有两排直径为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的圆孔；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3.4.黑白密度计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3.4.1 量程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5.00 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，精度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±0.02 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；采样时间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0.8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秒；光孔大小直径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3.5.铜板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3.5.1 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20cm×20cm×1.5mm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3.6.铝板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3.6.1 尺寸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18cm×18cm×2cm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 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CR、DR机设备质量控制检测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模体</w:t>
            </w:r>
          </w:p>
        </w:tc>
        <w:tc>
          <w:tcPr>
            <w:tcW w:w="2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用于医用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CR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射线设备质量控制检测，主要包括空间分辨力、低对比度细节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检测、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IP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响应均匀性和一致性等项目。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系统配置要求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1、CR/DR 性能检测模体1套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2、空间分辨力测试卡2套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3、屏片密着检测板1套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4、铅尺2把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5、放大镜1个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6、钢尺2把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7、铅板3块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8、铜板3块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9、铅橡胶围裙1个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10、卷尺1个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11、固定胶带1卷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技术性能指标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CR/DR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性能检测模体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3.1.1 包含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行和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列共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225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个低对比度细节模块，每个模块中有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1-2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个细节孔以形成影像。前三行每个方块中只有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个细节孔，其他行有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个相同的细节孔，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个在中心，另外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个随机分布在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个角落中，共计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405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个细节孔；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3.1.2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行孔直径范围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0.3 - 8.0mm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0.3, 0.4, 0.5, 0.6, 0.8, 1.0, 1.3, 1.6, 2.0, 2.5, 3.2, 4.0, 5.0, 6.3, 8.0mm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列孔深度范围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0.3 - 8.0mm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0.3, 0.4, 0.5, 0.6, 0.8, 1.0, 1.3, 1.6, 2.0, 2.5, 3.2, 4.0, 5.0, 6.3, 8.0mm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3.1.4 孔的尺寸精度：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0.01mm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3.2.空间分辨力测试卡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3.2.1 铅厚：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；分辨力测量范围：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0.6~ 10.0 lp/mm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3.3.屏片密着检测板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3.3.1 网眼尺寸：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3.15 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，线径：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0.71mm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；外形尺寸：不大于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450 mm×450mm×8mm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3.4.铅尺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3.4.1 长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，宽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2.5cm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刻度间距；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3.5.放大镜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3.5.1放大倍数：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10~20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倍；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3.6.钢尺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3.6.1长约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，宽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2~3cm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刻度间距；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3.7.铅板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3.7.1 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40mm×40mm×4mm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，一块；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3.7.2 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150mm×150mm×2mm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，两块；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3.8.铜板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3.8.1尺寸：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20cm×20cm×0.5mm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，一块；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3.8.2尺寸：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150×150×1.0mm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，两块；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3.9.铅橡胶围裙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3.9.1尺寸：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40×40cm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，铅当量：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牙科设备性能检测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模体</w:t>
            </w:r>
          </w:p>
        </w:tc>
        <w:tc>
          <w:tcPr>
            <w:tcW w:w="2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用于具有口内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射线影像接收器的牙科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射线设备和具有口外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射线影像接收器的牙科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射线设备的质量控制检测，主要包括高对比分辨力、低对比分辨力、有用线束半值层等项目。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系统配置要求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口腔密度分辨力检测模体 1 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三脚架（计量仪支架）1套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技术性能指标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3.1.口腔密度分辨力检测模体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3.1.1 低对比分辨力测试模块：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0.5mm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铝（纯度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99.5%)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板上设置直径分别为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的固孔，并设置直径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4.0mm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的参考固孔；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3.1.2 高对比分辨力测试模块：设置线对范围为：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1.61p/mm-3.0lp/mm (1.61p/mm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2.0lp/mm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2.21p/mm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2.5lp/mm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3.0lp/mm) ,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铅当量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0.05mm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3.1.3 牙科摄影机集光筒固定模块：模体上部设置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个不同尺寸的中心环，直径分别为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66mm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、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3.1.4 插口模块：模体下部设置用于放置剂量仪探测器或口内牙片机，影像接收器的插口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个。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8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DSA性能检测设备</w:t>
            </w:r>
          </w:p>
        </w:tc>
        <w:tc>
          <w:tcPr>
            <w:tcW w:w="38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模体</w:t>
            </w:r>
          </w:p>
        </w:tc>
        <w:tc>
          <w:tcPr>
            <w:tcW w:w="261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用途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用于数字减影血管造影（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DSA)X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射线设备以质量保证为目的进行检测的项目，主要包括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DSA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可枧空间分辨力、减影性能、对比度线性、影像失真度等项目。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系统配置要求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1、DSA机性能检测模体一套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技术性能指标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3.1.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DSA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性能检测模体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3.1.1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级测试动态范围的楔形铜梯：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个厚度为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0.2 - 1.4mm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的线性铜阶梯，与血管模拟板插件纵向垂直排列，另有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组厚度为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1.4mm - 0.2mm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的铜阶梯用做对数补偿试验。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3.1.2 血管模拟板插件：可横向移动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，带有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条纯度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99.5%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的铝条，铝条间的间隙为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。铝条长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150mm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，宽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，厚度分别为：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0.05mm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0.1mm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0.2mm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0.4mm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，用于模拟不同的血管密度。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3.1.3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米长远程控制气动阀门，检测过程中使血管模拟板产生不同方向的运动，可有效地降低检测人员测量时的受照剂量。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  <w:lang w:val="zh-CN" w:eastAsia="zh-CN"/>
        </w:rPr>
        <w:t>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</w:pPr>
      <w:bookmarkStart w:id="0" w:name="_Toc24273"/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</w:rPr>
        <w:t>报价要求：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供应商的报价应包括：人员费用、运输费用、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包装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费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用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、管理费及税金等为完成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eastAsia="zh-CN"/>
        </w:rPr>
        <w:t>竞价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文件规定全部内容所需的一切应有费用。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2.供货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</w:rPr>
        <w:t>地点：采购人指定地点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3.付款及结算方式：设备验收合格并完成校准、实操培训后由成交人申请，采购人审批后付合同价款的90%，剩余10%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1D1D20"/>
          <w:sz w:val="28"/>
          <w:szCs w:val="28"/>
          <w:highlight w:val="none"/>
          <w:u w:val="none"/>
          <w:lang w:eastAsia="zh-CN"/>
        </w:rPr>
        <w:t>余款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待质保期（一年）满后付清。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4.成交人须提供一年的免费质保服务，所有质保费用均已包含在投标报价中，质保期满后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highlight w:val="none"/>
          <w:lang w:val="en-US" w:eastAsia="zh-CN"/>
        </w:rPr>
        <w:t>，应提供优先的有偿售后服务。</w:t>
      </w: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软件终身免费升级服务。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5.</w:t>
      </w:r>
      <w:bookmarkStart w:id="1" w:name="OLE_LINK4"/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成交人在设备在验收合格后投入使用前应进行检定/校准，并出具校准证书</w:t>
      </w:r>
      <w:bookmarkEnd w:id="1"/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6.成交人负责为采购人操作人员提供操作及维护的培训，直至其能熟练独立操作及日常维护与保养，简单故障诊断与排除。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7.中标人须设有维修服务电话，负责解答用户在货物使用中遇到的问题，及时提出解决问题的建议和操作方法。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color w:val="1D1D20"/>
          <w:sz w:val="28"/>
          <w:szCs w:val="28"/>
          <w:lang w:val="en-US" w:eastAsia="zh-CN"/>
        </w:rPr>
        <w:t>8.售后服务响应时间：如货物出现故障，电话响应无法解决，中标人必须在接报修电话24小时到现场并解决问题。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1D1D20"/>
          <w:spacing w:val="-1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eastAsia="zh-CN"/>
        </w:rPr>
        <w:t>踏勘现场：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本项目采购人不组织集中踏勘现场。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56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val="en-US" w:eastAsia="zh-CN"/>
        </w:rPr>
        <w:t>10.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</w:rPr>
        <w:t>验收</w:t>
      </w:r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lang w:eastAsia="zh-CN"/>
        </w:rPr>
        <w:t>：</w:t>
      </w:r>
      <w:bookmarkEnd w:id="0"/>
      <w:r>
        <w:rPr>
          <w:rFonts w:hint="eastAsia" w:ascii="仿宋" w:hAnsi="仿宋" w:eastAsia="仿宋" w:cs="仿宋"/>
          <w:b w:val="0"/>
          <w:bCs w:val="0"/>
          <w:color w:val="1D1D20"/>
          <w:sz w:val="28"/>
          <w:szCs w:val="28"/>
          <w:highlight w:val="none"/>
          <w:lang w:val="en-US" w:eastAsia="zh-CN"/>
        </w:rPr>
        <w:t>采购人和相关部门按照国家标准和行业标准进行验收，货物在验收时，成交人应提供发票、制造厂家出具的产品合格证书、装箱清单及有关货物的操作规程和使用说明书，维护手册、保养修理所需的各种随机工具及相关设计、制造、检验、安装、技术性指导等文件和应由成交人提供的必要文件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A49A2"/>
    <w:multiLevelType w:val="multilevel"/>
    <w:tmpl w:val="2F2A49A2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wYjkwYzhkYmQ4YmQ3ZjI4Y2E0NzJlYjE3YjNjMDAifQ=="/>
  </w:docVars>
  <w:rsids>
    <w:rsidRoot w:val="59D41354"/>
    <w:rsid w:val="02E02228"/>
    <w:rsid w:val="045E4692"/>
    <w:rsid w:val="06F469BB"/>
    <w:rsid w:val="0A5C2211"/>
    <w:rsid w:val="106250A3"/>
    <w:rsid w:val="13C16619"/>
    <w:rsid w:val="20817646"/>
    <w:rsid w:val="210C5CAC"/>
    <w:rsid w:val="21956EA7"/>
    <w:rsid w:val="29430597"/>
    <w:rsid w:val="2B454B53"/>
    <w:rsid w:val="2D0E480C"/>
    <w:rsid w:val="2DF172B8"/>
    <w:rsid w:val="32346F6E"/>
    <w:rsid w:val="338F0990"/>
    <w:rsid w:val="358C2805"/>
    <w:rsid w:val="39DA0B3A"/>
    <w:rsid w:val="3C4C5ED9"/>
    <w:rsid w:val="3D7D7E78"/>
    <w:rsid w:val="40584B2F"/>
    <w:rsid w:val="520B162D"/>
    <w:rsid w:val="558A781D"/>
    <w:rsid w:val="55E324F9"/>
    <w:rsid w:val="59D41354"/>
    <w:rsid w:val="5C245548"/>
    <w:rsid w:val="69F65D30"/>
    <w:rsid w:val="6A3F4EDF"/>
    <w:rsid w:val="711D2041"/>
    <w:rsid w:val="71645CEB"/>
    <w:rsid w:val="7F3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widowControl/>
      <w:numPr>
        <w:ilvl w:val="0"/>
        <w:numId w:val="1"/>
      </w:numPr>
      <w:ind w:left="0" w:firstLine="0"/>
      <w:jc w:val="center"/>
      <w:outlineLvl w:val="0"/>
    </w:pPr>
    <w:rPr>
      <w:rFonts w:ascii="宋体" w:hAnsi="宋体" w:eastAsia="宋体" w:cs="宋体"/>
      <w:b/>
      <w:kern w:val="0"/>
      <w:sz w:val="28"/>
      <w:szCs w:val="20"/>
    </w:rPr>
  </w:style>
  <w:style w:type="paragraph" w:styleId="3">
    <w:name w:val="heading 2"/>
    <w:basedOn w:val="1"/>
    <w:next w:val="4"/>
    <w:link w:val="12"/>
    <w:autoRedefine/>
    <w:semiHidden/>
    <w:unhideWhenUsed/>
    <w:qFormat/>
    <w:uiPriority w:val="0"/>
    <w:pPr>
      <w:keepNext/>
      <w:keepLines/>
      <w:widowControl/>
      <w:spacing w:line="360" w:lineRule="auto"/>
      <w:jc w:val="center"/>
      <w:outlineLvl w:val="1"/>
    </w:pPr>
    <w:rPr>
      <w:rFonts w:ascii="Arial" w:hAnsi="Arial" w:eastAsia="宋体" w:cs="Times New Roman"/>
      <w:b/>
      <w:kern w:val="0"/>
      <w:sz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character" w:default="1" w:styleId="10">
    <w:name w:val="Default Paragraph Font"/>
    <w:autoRedefine/>
    <w:unhideWhenUsed/>
    <w:qFormat/>
    <w:uiPriority w:val="1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autoRedefine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link w:val="2"/>
    <w:autoRedefine/>
    <w:qFormat/>
    <w:uiPriority w:val="0"/>
    <w:rPr>
      <w:rFonts w:ascii="宋体" w:hAnsi="宋体" w:eastAsia="宋体" w:cs="宋体"/>
      <w:b/>
      <w:bCs/>
      <w:snapToGrid w:val="0"/>
      <w:color w:val="000000"/>
      <w:kern w:val="44"/>
      <w:sz w:val="32"/>
      <w:szCs w:val="44"/>
      <w:lang w:eastAsia="en-US"/>
    </w:rPr>
  </w:style>
  <w:style w:type="character" w:customStyle="1" w:styleId="12">
    <w:name w:val="标题 2 Char"/>
    <w:basedOn w:val="10"/>
    <w:link w:val="3"/>
    <w:autoRedefine/>
    <w:semiHidden/>
    <w:qFormat/>
    <w:uiPriority w:val="9"/>
    <w:rPr>
      <w:rFonts w:ascii="Arial" w:hAnsi="Arial" w:eastAsia="宋体" w:cs="Times New Roman"/>
      <w:b/>
      <w:bCs/>
      <w:sz w:val="32"/>
      <w:szCs w:val="32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2025-03-06T03:27:00Z</dcterms:created>
  <dc:creator>周敏</dc:creator>
  <cp:lastModifiedBy>周敏</cp:lastModifiedBy>
  <dcterms:modified xsi:type="dcterms:W3CDTF">2025-03-06T03:27:46Z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11F3052DDB9549E18DE0DFC2D35B90BD_11</vt:lpwstr>
  </property>
</Properties>
</file>