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jc w:val="center"/>
        <w:rPr>
          <w:rFonts w:hint="eastAsia" w:ascii="仿宋" w:hAnsi="仿宋" w:eastAsia="仿宋" w:cs="仿宋"/>
          <w:b/>
          <w:bCs/>
          <w:color w:val="1D1D20"/>
          <w:kern w:val="0"/>
          <w:sz w:val="32"/>
          <w:szCs w:val="32"/>
          <w:lang w:bidi="ar"/>
        </w:rPr>
      </w:pPr>
      <w:bookmarkStart w:id="0" w:name="_Toc30580"/>
      <w:r>
        <w:rPr>
          <w:rFonts w:hint="eastAsia" w:ascii="仿宋" w:hAnsi="仿宋" w:eastAsia="仿宋" w:cs="仿宋"/>
          <w:b/>
          <w:bCs/>
          <w:color w:val="1D1D20"/>
          <w:kern w:val="0"/>
          <w:sz w:val="32"/>
          <w:szCs w:val="32"/>
          <w:lang w:bidi="ar"/>
        </w:rPr>
        <w:t>采购需求</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lang w:val="zh-CN"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zh-CN" w:eastAsia="zh-CN"/>
        </w:rPr>
        <w:t>项目概况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lang w:val="en-US" w:eastAsia="zh-CN" w:bidi="ar-SA"/>
        </w:rPr>
      </w:pPr>
      <w:r>
        <w:rPr>
          <w:rFonts w:hint="eastAsia" w:ascii="仿宋" w:hAnsi="仿宋" w:eastAsia="仿宋" w:cs="仿宋"/>
          <w:snapToGrid w:val="0"/>
          <w:color w:val="1D1D20"/>
          <w:kern w:val="2"/>
          <w:sz w:val="28"/>
          <w:szCs w:val="28"/>
          <w:lang w:val="en-US" w:eastAsia="zh-CN" w:bidi="ar-SA"/>
        </w:rPr>
        <w:t>安庆市疾病预防控制中心承担全市疫苗 (含免疫规划疫苗和非免疫规划疫苗) 计划与供应，疫苗需储存、运输在符合温度规定的要求。目前疾控中心用于储存疫苗的冷库2间、冷藏车4台、保温箱（冷藏箱）10个、医用低温保存箱2台。根据相关规定，为保证冷库发电机设备的正常运行、温度符合国家规定要求，需对冷库进行维护保养、冷库、冷藏车及保温箱（冷藏箱），进行定期的科学验证及校准服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二、相关要求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lang w:val="en-US" w:eastAsia="zh-CN" w:bidi="ar-SA"/>
        </w:rPr>
      </w:pPr>
      <w:r>
        <w:rPr>
          <w:rFonts w:hint="eastAsia" w:ascii="仿宋" w:hAnsi="仿宋" w:eastAsia="仿宋" w:cs="仿宋"/>
          <w:snapToGrid w:val="0"/>
          <w:color w:val="1D1D20"/>
          <w:kern w:val="2"/>
          <w:sz w:val="28"/>
          <w:szCs w:val="28"/>
          <w:lang w:val="en-US" w:eastAsia="zh-CN" w:bidi="ar-SA"/>
        </w:rPr>
        <w:t>1.出具的校准证书需具有校准实验室计量标准考核证书（国家行政部门颁发）并通过国家CNAS实验室认可证书；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lang w:val="en-US" w:eastAsia="zh-CN" w:bidi="ar-SA"/>
        </w:rPr>
      </w:pPr>
      <w:r>
        <w:rPr>
          <w:rFonts w:hint="eastAsia" w:ascii="仿宋" w:hAnsi="仿宋" w:eastAsia="仿宋" w:cs="仿宋"/>
          <w:snapToGrid w:val="0"/>
          <w:color w:val="1D1D20"/>
          <w:kern w:val="2"/>
          <w:sz w:val="28"/>
          <w:szCs w:val="28"/>
          <w:lang w:val="en-US" w:eastAsia="zh-CN" w:bidi="ar-SA"/>
        </w:rPr>
        <w:t>2.供应商具备ISO9001质量管理体系认证书ISO14001、环境管理体系认证证书ISO45001职业健康安全管理体系认证证书，在有效期内（体系认证内容覆盖的范围包括：温湿度验证冷链验证及技术服务），确保验证数据真实有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lang w:val="en-US" w:eastAsia="zh-CN" w:bidi="ar-SA"/>
        </w:rPr>
      </w:pPr>
      <w:r>
        <w:rPr>
          <w:rFonts w:hint="eastAsia" w:ascii="仿宋" w:hAnsi="仿宋" w:eastAsia="仿宋" w:cs="仿宋"/>
          <w:snapToGrid w:val="0"/>
          <w:color w:val="1D1D20"/>
          <w:kern w:val="2"/>
          <w:sz w:val="28"/>
          <w:szCs w:val="28"/>
          <w:lang w:val="en-US" w:eastAsia="zh-CN" w:bidi="ar-SA"/>
        </w:rPr>
        <w:t>（3）为确保冷库运行，供应商需具有类似冷库维护经验，提供相关冷库维护证明文件（合同即可）。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napToGrid w:val="0"/>
          <w:color w:val="1D1D20"/>
          <w:kern w:val="2"/>
          <w:sz w:val="28"/>
          <w:szCs w:val="28"/>
          <w:lang w:val="en-US" w:eastAsia="zh-CN" w:bidi="ar-SA"/>
        </w:rPr>
      </w:pPr>
      <w:r>
        <w:rPr>
          <w:rFonts w:hint="eastAsia" w:ascii="仿宋" w:hAnsi="仿宋" w:eastAsia="仿宋" w:cs="仿宋"/>
          <w:b/>
          <w:bCs/>
          <w:snapToGrid w:val="0"/>
          <w:color w:val="1D1D20"/>
          <w:kern w:val="2"/>
          <w:sz w:val="28"/>
          <w:szCs w:val="28"/>
          <w:lang w:val="en-US" w:eastAsia="zh-CN" w:bidi="ar-SA"/>
        </w:rPr>
        <w:t>三、采购需求一览表及技术要求</w:t>
      </w:r>
    </w:p>
    <w:tbl>
      <w:tblPr>
        <w:tblStyle w:val="5"/>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997"/>
        <w:gridCol w:w="6298"/>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3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700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技术要求</w:t>
            </w:r>
          </w:p>
        </w:tc>
        <w:tc>
          <w:tcPr>
            <w:tcW w:w="0" w:type="auto"/>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8"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冷库、冷藏车、保温箱验证服务</w:t>
            </w: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冷库维护保养</w:t>
            </w:r>
            <w:r>
              <w:rPr>
                <w:rStyle w:val="7"/>
                <w:rFonts w:hint="eastAsia" w:ascii="仿宋" w:hAnsi="仿宋" w:eastAsia="仿宋" w:cs="仿宋"/>
                <w:sz w:val="24"/>
                <w:szCs w:val="24"/>
                <w:lang w:val="en-US" w:eastAsia="zh-CN" w:bidi="ar"/>
              </w:rPr>
              <w:t>包含以下</w:t>
            </w:r>
            <w:r>
              <w:rPr>
                <w:rStyle w:val="8"/>
                <w:rFonts w:hint="eastAsia" w:ascii="仿宋" w:hAnsi="仿宋" w:eastAsia="仿宋" w:cs="仿宋"/>
                <w:sz w:val="24"/>
                <w:szCs w:val="24"/>
                <w:lang w:val="en-US" w:eastAsia="zh-CN" w:bidi="ar"/>
              </w:rPr>
              <w:t>内容：</w:t>
            </w:r>
          </w:p>
        </w:tc>
        <w:tc>
          <w:tcPr>
            <w:tcW w:w="0" w:type="auto"/>
            <w:vMerge w:val="restar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一．冷库维护保养</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1.日常维护保养服务，并做纸质维保记录归档使用；</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2.日常维修，维修记录归档；</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3.维保方需在合同期内提供全年24小时维保服务和投诉电话，紧急情况下，接到通知后，技术维修人员在2小时内到达冷库故障现场进行抢修。（提供承诺书，如未在规定时间到达，疫苗损失</w:t>
            </w:r>
            <w:r>
              <w:rPr>
                <w:rFonts w:hint="eastAsia" w:ascii="仿宋" w:hAnsi="仿宋" w:eastAsia="仿宋" w:cs="仿宋"/>
                <w:i w:val="0"/>
                <w:iCs w:val="0"/>
                <w:color w:val="000000"/>
                <w:kern w:val="0"/>
                <w:sz w:val="24"/>
                <w:szCs w:val="24"/>
                <w:highlight w:val="none"/>
                <w:u w:val="none"/>
                <w:lang w:val="en-US" w:eastAsia="zh-CN" w:bidi="ar"/>
              </w:rPr>
              <w:t>由成交供应商承</w:t>
            </w:r>
            <w:r>
              <w:rPr>
                <w:rFonts w:hint="eastAsia" w:ascii="仿宋" w:hAnsi="仿宋" w:eastAsia="仿宋" w:cs="仿宋"/>
                <w:i w:val="0"/>
                <w:iCs w:val="0"/>
                <w:color w:val="000000"/>
                <w:kern w:val="0"/>
                <w:sz w:val="24"/>
                <w:szCs w:val="24"/>
                <w:u w:val="none"/>
                <w:lang w:val="en-US" w:eastAsia="zh-CN" w:bidi="ar"/>
              </w:rPr>
              <w:t>担）；</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4.应急状态下需要整体转移疫苗要提供相应的备用库房及运输车辆，并在冷库恢复正常后拉回。中途运输及储存温度记录一并提供归档；</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检查机组运行情况，记录分析运行情况；加注润滑油；检查膨胀阀工作情况；检查电控系统动作程序；检查安全保护开关整定情况；检查是否有异常噪音及震动；检查清理控制箱；制冷剂及冷冻油的添加；发电机组检查保养等；</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6.每年维护保养不少于7次，时间分别为：一个季度进行一次上门维保服务，五一/国庆/春节长假日前进行一次冷库设施设备的全面检修与维护，有问题及时解决；</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7.专业技术人员（硬件需提供水电工等相关专业证书复印件）；</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8.采购单位遇到突发事件1小时内响应并提供解决方案，4小时内到达现场进行处置。</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验证项目包含以下内容：</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二、冷库验证</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1.温度分布特性的测试与分析，确定适宜药品存放的安全位置及区域；</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2.温控设备运行参数及使用状况测试；</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3.监测系统配置的测点终端参数及安装位置确认；</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4.开门作业对库房温度分布及药品储存的影响；</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5.确定设备故障或外部供电中断的状况下，库房保温性能及变化趋势分析；</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6.对本地区的高温或低温等极端外部环境条件，分别进行保温效果评估；</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7.在新建库房初次使用前或改造后重新使用前，进行空载及满载验证；</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8.年度定期验证时，进行满载验证。</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二、冷藏车</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1.温度分布特性的测试与分析，确定适宜药品存放的安全位置及区域；</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2.温控设备运行参数及使用状况测试；</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3.监测系统配置的测点终端参数及安装位置确认；</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4.开门作业对车辆温度分布及药品储存的影响；</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5.确定设备故障或外部供电中断的状况下，车辆保温性能及变化趋势分析；</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6.对本地区的高温或低温等极端外部环境条件，分别进行保温效果评估；</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7.年度定期验证时，进行满载验证。</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三、保温箱</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1.箱内温度分布特性的测试与分析，分析箱体内温度变化及趋势；</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2.蓄冷剂配备使用的条件测试；</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3.温度自动监测设备放置位置确认；</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4.开箱作业对箱内温度分布及变化的影响；</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5.高温或低温等极端外部环境条件下的保温效果评估；</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6.运输最长时限验证。</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四、冷库温湿度记录仪</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1.采用不小于2英寸TFT彩色显示屏。屏幕显示内容：通道信息、传感器温湿度值、环境温湿度值、日期、时间、信号强度、锂电池电量、报警开关状态、报警状态。安装固定不得破坏冷库、冰箱等自身的密封性；</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2、通讯方式：GPRS无线通讯+WIFI通讯两种同时互补兼容保证数据通讯的稳定传输，可兼容2个以上运营商，设备自带联网卡；</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i w:val="0"/>
                <w:iCs w:val="0"/>
                <w:color w:val="000000"/>
                <w:szCs w:val="24"/>
                <w:u w:val="none"/>
              </w:rPr>
            </w:pPr>
            <w:bookmarkStart w:id="2" w:name="_GoBack"/>
            <w:r>
              <w:rPr>
                <w:rFonts w:hint="eastAsia" w:ascii="仿宋" w:hAnsi="仿宋" w:eastAsia="仿宋" w:cs="仿宋"/>
                <w:i w:val="0"/>
                <w:iCs w:val="0"/>
                <w:color w:val="000000"/>
                <w:kern w:val="0"/>
                <w:sz w:val="24"/>
                <w:szCs w:val="24"/>
                <w:u w:val="none"/>
                <w:lang w:val="en-US" w:eastAsia="zh-CN" w:bidi="ar"/>
              </w:rPr>
              <w:t>3.根据采购人要求，在温度异常时提供短信及语音电话预警；</w:t>
            </w:r>
            <w:bookmarkEnd w:id="2"/>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4.具有液晶显示，可显示实时温（湿）度、电池电量、数据发送状态，实时时钟等信息（需提供实物照片证明材料）；</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1038"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u w:val="none"/>
              </w:rPr>
            </w:pPr>
          </w:p>
        </w:tc>
        <w:tc>
          <w:tcPr>
            <w:tcW w:w="7008" w:type="dxa"/>
            <w:tcBorders>
              <w:top w:val="nil"/>
              <w:left w:val="nil"/>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5.冷链温度设备安装后可以实现冷库、冷藏车、保温箱的监测数据统一在同一温湿度监测管理预警平台。</w:t>
            </w:r>
          </w:p>
        </w:tc>
        <w:tc>
          <w:tcPr>
            <w:tcW w:w="0" w:type="auto"/>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w:t>
            </w:r>
          </w:p>
        </w:tc>
        <w:tc>
          <w:tcPr>
            <w:tcW w:w="7690" w:type="dxa"/>
            <w:gridSpan w:val="2"/>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1.报价方须对所报价包内所有服务内容进行报价，否则视为无效报价。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7690" w:type="dxa"/>
            <w:gridSpan w:val="2"/>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2.以上技术要求必须全部满足，提供承诺函，格式自拟。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u w:val="none"/>
              </w:rPr>
            </w:pPr>
          </w:p>
        </w:tc>
        <w:tc>
          <w:tcPr>
            <w:tcW w:w="7690" w:type="dxa"/>
            <w:gridSpan w:val="2"/>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Style w:val="8"/>
                <w:rFonts w:hint="eastAsia" w:ascii="仿宋" w:hAnsi="仿宋" w:eastAsia="仿宋" w:cs="仿宋"/>
                <w:sz w:val="24"/>
                <w:szCs w:val="24"/>
                <w:lang w:val="en-US" w:eastAsia="zh-CN" w:bidi="ar"/>
              </w:rPr>
              <w:t>科学验证及校准服务必须出具加盖公章的验证及校准报告，否则按无效响应处理。（须提供承诺函，格式自拟）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val="zh-CN"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napToGrid w:val="0"/>
          <w:color w:val="1D1D20"/>
          <w:sz w:val="28"/>
          <w:szCs w:val="28"/>
        </w:rPr>
      </w:pPr>
      <w:bookmarkStart w:id="1" w:name="_Toc24273"/>
      <w:r>
        <w:rPr>
          <w:rFonts w:hint="eastAsia" w:ascii="仿宋" w:hAnsi="仿宋" w:eastAsia="仿宋" w:cs="仿宋"/>
          <w:b w:val="0"/>
          <w:bCs w:val="0"/>
          <w:color w:val="1D1D20"/>
          <w:sz w:val="28"/>
          <w:szCs w:val="28"/>
          <w:lang w:val="en-US" w:eastAsia="zh-CN"/>
        </w:rPr>
        <w:t>1、</w:t>
      </w:r>
      <w:r>
        <w:rPr>
          <w:rFonts w:hint="eastAsia" w:ascii="仿宋" w:hAnsi="仿宋" w:eastAsia="仿宋" w:cs="仿宋"/>
          <w:b w:val="0"/>
          <w:bCs w:val="0"/>
          <w:color w:val="1D1D20"/>
          <w:sz w:val="28"/>
          <w:szCs w:val="28"/>
        </w:rPr>
        <w:t>报价要求：</w:t>
      </w:r>
      <w:r>
        <w:rPr>
          <w:rFonts w:hint="eastAsia" w:ascii="仿宋" w:hAnsi="仿宋" w:eastAsia="仿宋" w:cs="仿宋"/>
          <w:b w:val="0"/>
          <w:bCs w:val="0"/>
          <w:snapToGrid w:val="0"/>
          <w:color w:val="1D1D20"/>
          <w:sz w:val="28"/>
          <w:szCs w:val="28"/>
        </w:rPr>
        <w:t>供应商的报价应包括：人员费用、运输费用、</w:t>
      </w:r>
      <w:r>
        <w:rPr>
          <w:rFonts w:hint="eastAsia" w:ascii="仿宋" w:hAnsi="仿宋" w:eastAsia="仿宋" w:cs="仿宋"/>
          <w:b w:val="0"/>
          <w:bCs w:val="0"/>
          <w:snapToGrid w:val="0"/>
          <w:color w:val="1D1D20"/>
          <w:sz w:val="28"/>
          <w:szCs w:val="28"/>
          <w:lang w:val="en-US" w:eastAsia="zh-CN"/>
        </w:rPr>
        <w:t>包装</w:t>
      </w:r>
      <w:r>
        <w:rPr>
          <w:rFonts w:hint="eastAsia" w:ascii="仿宋" w:hAnsi="仿宋" w:eastAsia="仿宋" w:cs="仿宋"/>
          <w:b w:val="0"/>
          <w:bCs w:val="0"/>
          <w:snapToGrid w:val="0"/>
          <w:color w:val="1D1D20"/>
          <w:sz w:val="28"/>
          <w:szCs w:val="28"/>
        </w:rPr>
        <w:t>费</w:t>
      </w:r>
      <w:r>
        <w:rPr>
          <w:rFonts w:hint="eastAsia" w:ascii="仿宋" w:hAnsi="仿宋" w:eastAsia="仿宋" w:cs="仿宋"/>
          <w:b w:val="0"/>
          <w:bCs w:val="0"/>
          <w:snapToGrid w:val="0"/>
          <w:color w:val="1D1D20"/>
          <w:sz w:val="28"/>
          <w:szCs w:val="28"/>
          <w:lang w:val="en-US" w:eastAsia="zh-CN"/>
        </w:rPr>
        <w:t>用</w:t>
      </w:r>
      <w:r>
        <w:rPr>
          <w:rFonts w:hint="eastAsia" w:ascii="仿宋" w:hAnsi="仿宋" w:eastAsia="仿宋" w:cs="仿宋"/>
          <w:b w:val="0"/>
          <w:bCs w:val="0"/>
          <w:snapToGrid w:val="0"/>
          <w:color w:val="1D1D20"/>
          <w:sz w:val="28"/>
          <w:szCs w:val="28"/>
        </w:rPr>
        <w:t>、管理费及税金等为完成</w:t>
      </w:r>
      <w:r>
        <w:rPr>
          <w:rFonts w:hint="eastAsia" w:ascii="仿宋" w:hAnsi="仿宋" w:eastAsia="仿宋" w:cs="仿宋"/>
          <w:b w:val="0"/>
          <w:bCs w:val="0"/>
          <w:snapToGrid w:val="0"/>
          <w:color w:val="1D1D20"/>
          <w:sz w:val="28"/>
          <w:szCs w:val="28"/>
          <w:lang w:eastAsia="zh-CN"/>
        </w:rPr>
        <w:t>竞价</w:t>
      </w:r>
      <w:r>
        <w:rPr>
          <w:rFonts w:hint="eastAsia" w:ascii="仿宋" w:hAnsi="仿宋" w:eastAsia="仿宋" w:cs="仿宋"/>
          <w:b w:val="0"/>
          <w:bCs w:val="0"/>
          <w:snapToGrid w:val="0"/>
          <w:color w:val="1D1D20"/>
          <w:sz w:val="28"/>
          <w:szCs w:val="28"/>
        </w:rPr>
        <w:t>文件规定全部内容所需的一切应有费用。</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napToGrid w:val="0"/>
          <w:color w:val="1D1D20"/>
          <w:sz w:val="28"/>
          <w:szCs w:val="28"/>
          <w:lang w:val="zh-CN" w:eastAsia="zh-CN"/>
        </w:rPr>
      </w:pPr>
      <w:r>
        <w:rPr>
          <w:rFonts w:hint="eastAsia" w:ascii="仿宋" w:hAnsi="仿宋" w:eastAsia="仿宋" w:cs="仿宋"/>
          <w:b w:val="0"/>
          <w:bCs w:val="0"/>
          <w:snapToGrid w:val="0"/>
          <w:color w:val="1D1D20"/>
          <w:sz w:val="28"/>
          <w:szCs w:val="28"/>
          <w:lang w:val="en-US" w:eastAsia="zh-CN"/>
        </w:rPr>
        <w:t>2、服务</w:t>
      </w:r>
      <w:r>
        <w:rPr>
          <w:rFonts w:hint="eastAsia" w:ascii="仿宋" w:hAnsi="仿宋" w:eastAsia="仿宋" w:cs="仿宋"/>
          <w:b w:val="0"/>
          <w:bCs w:val="0"/>
          <w:snapToGrid w:val="0"/>
          <w:color w:val="1D1D20"/>
          <w:sz w:val="28"/>
          <w:szCs w:val="28"/>
        </w:rPr>
        <w:t>地点：采购人指定地点</w:t>
      </w:r>
      <w:r>
        <w:rPr>
          <w:rFonts w:hint="eastAsia" w:ascii="仿宋" w:hAnsi="仿宋" w:eastAsia="仿宋" w:cs="仿宋"/>
          <w:b w:val="0"/>
          <w:bCs w:val="0"/>
          <w:snapToGrid w:val="0"/>
          <w:color w:val="1D1D20"/>
          <w:sz w:val="28"/>
          <w:szCs w:val="28"/>
          <w:lang w:eastAsia="zh-CN"/>
        </w:rPr>
        <w:t>。</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b w:val="0"/>
          <w:bCs w:val="0"/>
          <w:snapToGrid w:val="0"/>
          <w:color w:val="1D1D20"/>
          <w:sz w:val="28"/>
          <w:szCs w:val="28"/>
          <w:lang w:val="en-US" w:eastAsia="zh-CN"/>
        </w:rPr>
        <w:t>3、付款及结算方式：</w:t>
      </w:r>
      <w:r>
        <w:rPr>
          <w:rFonts w:hint="eastAsia" w:ascii="仿宋" w:hAnsi="仿宋" w:eastAsia="仿宋" w:cs="仿宋"/>
          <w:sz w:val="28"/>
          <w:szCs w:val="28"/>
        </w:rPr>
        <w:t>服务完成</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rPr>
        <w:t>15</w:t>
      </w:r>
      <w:r>
        <w:rPr>
          <w:rFonts w:hint="eastAsia" w:ascii="仿宋" w:hAnsi="仿宋" w:eastAsia="仿宋" w:cs="仿宋"/>
          <w:snapToGrid w:val="0"/>
          <w:sz w:val="28"/>
          <w:szCs w:val="28"/>
          <w:lang w:val="zh-CN"/>
        </w:rPr>
        <w:t>个工作日内结清全部货款。</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color w:val="1D1D20"/>
          <w:spacing w:val="-1"/>
          <w:sz w:val="28"/>
          <w:szCs w:val="28"/>
          <w:highlight w:val="none"/>
          <w:lang w:val="en-US" w:eastAsia="zh-CN"/>
        </w:rPr>
      </w:pPr>
      <w:r>
        <w:rPr>
          <w:rFonts w:hint="eastAsia" w:ascii="仿宋" w:hAnsi="仿宋" w:eastAsia="仿宋" w:cs="仿宋"/>
          <w:b w:val="0"/>
          <w:bCs w:val="0"/>
          <w:color w:val="1D1D20"/>
          <w:sz w:val="28"/>
          <w:szCs w:val="28"/>
          <w:lang w:val="en-US" w:eastAsia="zh-CN"/>
        </w:rPr>
        <w:t>4、</w:t>
      </w:r>
      <w:r>
        <w:rPr>
          <w:rFonts w:hint="eastAsia" w:ascii="仿宋" w:hAnsi="仿宋" w:eastAsia="仿宋" w:cs="仿宋"/>
          <w:b w:val="0"/>
          <w:bCs w:val="0"/>
          <w:color w:val="1D1D20"/>
          <w:sz w:val="28"/>
          <w:szCs w:val="28"/>
          <w:lang w:eastAsia="zh-CN"/>
        </w:rPr>
        <w:t>踏勘现场：</w:t>
      </w:r>
      <w:r>
        <w:rPr>
          <w:rFonts w:hint="eastAsia" w:ascii="仿宋" w:hAnsi="仿宋" w:eastAsia="仿宋" w:cs="仿宋"/>
          <w:b w:val="0"/>
          <w:bCs w:val="0"/>
          <w:color w:val="1D1D20"/>
          <w:sz w:val="28"/>
          <w:szCs w:val="28"/>
          <w:highlight w:val="none"/>
          <w:lang w:val="en-US" w:eastAsia="zh-CN"/>
        </w:rPr>
        <w:t>本项目采购人不组织集中踏勘现场。</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color w:val="1D1D20"/>
          <w:sz w:val="28"/>
          <w:szCs w:val="28"/>
          <w:lang w:val="en-US" w:eastAsia="zh-CN"/>
        </w:rPr>
        <w:t>5、</w:t>
      </w:r>
      <w:r>
        <w:rPr>
          <w:rFonts w:hint="eastAsia" w:ascii="仿宋" w:hAnsi="仿宋" w:eastAsia="仿宋" w:cs="仿宋"/>
          <w:b w:val="0"/>
          <w:bCs w:val="0"/>
          <w:color w:val="1D1D20"/>
          <w:sz w:val="28"/>
          <w:szCs w:val="28"/>
        </w:rPr>
        <w:t>验收标准</w:t>
      </w:r>
      <w:r>
        <w:rPr>
          <w:rFonts w:hint="eastAsia" w:ascii="仿宋" w:hAnsi="仿宋" w:eastAsia="仿宋" w:cs="仿宋"/>
          <w:b w:val="0"/>
          <w:bCs w:val="0"/>
          <w:color w:val="1D1D20"/>
          <w:sz w:val="28"/>
          <w:szCs w:val="28"/>
          <w:lang w:eastAsia="zh-CN"/>
        </w:rPr>
        <w:t>：</w:t>
      </w:r>
      <w:r>
        <w:rPr>
          <w:rFonts w:hint="eastAsia" w:ascii="仿宋" w:hAnsi="仿宋" w:eastAsia="仿宋" w:cs="仿宋"/>
          <w:b w:val="0"/>
          <w:bCs w:val="0"/>
          <w:color w:val="1D1D20"/>
          <w:sz w:val="28"/>
          <w:szCs w:val="28"/>
          <w:highlight w:val="none"/>
          <w:lang w:val="en-US" w:eastAsia="zh-CN"/>
        </w:rPr>
        <w:t>通过国家和行业标准</w:t>
      </w:r>
      <w:bookmarkEnd w:id="1"/>
      <w:r>
        <w:rPr>
          <w:rFonts w:hint="eastAsia" w:ascii="仿宋" w:hAnsi="仿宋" w:eastAsia="仿宋" w:cs="仿宋"/>
          <w:b w:val="0"/>
          <w:bCs w:val="0"/>
          <w:color w:val="1D1D20"/>
          <w:sz w:val="28"/>
          <w:szCs w:val="28"/>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00000000"/>
    <w:rsid w:val="09D821FD"/>
    <w:rsid w:val="661C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jc w:val="center"/>
      <w:outlineLvl w:val="0"/>
    </w:pPr>
    <w:rPr>
      <w:rFonts w:ascii="Times New Roman" w:hAnsi="Times New Roman" w:eastAsia="仿宋"/>
      <w:b/>
      <w:bCs/>
      <w:kern w:val="44"/>
      <w:sz w:val="30"/>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4">
    <w:name w:val="Plain Text"/>
    <w:basedOn w:val="1"/>
    <w:next w:val="1"/>
    <w:autoRedefine/>
    <w:qFormat/>
    <w:uiPriority w:val="0"/>
    <w:rPr>
      <w:rFonts w:ascii="宋体" w:hAnsi="Courier New"/>
      <w:szCs w:val="20"/>
    </w:rPr>
  </w:style>
  <w:style w:type="character" w:customStyle="1" w:styleId="7">
    <w:name w:val="font81"/>
    <w:basedOn w:val="6"/>
    <w:autoRedefine/>
    <w:qFormat/>
    <w:uiPriority w:val="0"/>
    <w:rPr>
      <w:rFonts w:hint="eastAsia" w:ascii="仿宋" w:hAnsi="仿宋" w:eastAsia="仿宋" w:cs="仿宋"/>
      <w:b/>
      <w:bCs/>
      <w:color w:val="000000"/>
      <w:sz w:val="24"/>
      <w:szCs w:val="24"/>
      <w:u w:val="none"/>
    </w:rPr>
  </w:style>
  <w:style w:type="character" w:customStyle="1" w:styleId="8">
    <w:name w:val="font41"/>
    <w:basedOn w:val="6"/>
    <w:autoRedefine/>
    <w:qFormat/>
    <w:uiPriority w:val="0"/>
    <w:rPr>
      <w:rFonts w:ascii="宋体" w:hAnsi="宋体" w:eastAsia="宋体" w:cs="宋体"/>
      <w:b/>
      <w:bCs/>
      <w:color w:val="000000"/>
      <w:sz w:val="14"/>
      <w:szCs w:val="14"/>
      <w:u w:val="none"/>
    </w:rPr>
  </w:style>
  <w:style w:type="character" w:customStyle="1" w:styleId="9">
    <w:name w:val="font61"/>
    <w:basedOn w:val="6"/>
    <w:autoRedefine/>
    <w:qFormat/>
    <w:uiPriority w:val="0"/>
    <w:rPr>
      <w:rFonts w:hint="eastAsia" w:ascii="宋体" w:hAnsi="宋体" w:eastAsia="宋体" w:cs="宋体"/>
      <w:color w:val="000000"/>
      <w:sz w:val="16"/>
      <w:szCs w:val="16"/>
      <w:u w:val="none"/>
    </w:rPr>
  </w:style>
  <w:style w:type="character" w:customStyle="1" w:styleId="10">
    <w:name w:val="font3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2025-04-10T08:26:00Z</dcterms:created>
  <dc:creator>Administrator</dc:creator>
  <cp:lastModifiedBy>周敏</cp:lastModifiedBy>
  <dcterms:modified xsi:type="dcterms:W3CDTF">2025-04-10T08:30:21Z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KSOTemplateDocerSaveRecord">
    <vt:lpwstr>eyJoZGlkIjoiOTY0NjBjMDRkMTI4NDg4ZjUxMDc3ODI1NmIwYjQyNjgiLCJ1c2VySWQiOiIzNjExNTk2MDQifQ==</vt:lpwstr>
  </property>
  <property fmtid="{D5CDD505-2E9C-101B-9397-08002B2CF9AE}" pid="4" name="ICV">
    <vt:lpwstr>20CCE1B9FBB34FDFA956CA9689A55D62_13</vt:lpwstr>
  </property>
</Properties>
</file>