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EDAB8">
      <w:pPr>
        <w:pStyle w:val="2"/>
        <w:rPr>
          <w:rFonts w:hint="eastAsia" w:ascii="仿宋" w:hAnsi="仿宋" w:cs="仿宋"/>
          <w:b w:val="0"/>
          <w:bCs w:val="0"/>
          <w:color w:val="C00000"/>
          <w:sz w:val="32"/>
          <w:szCs w:val="32"/>
        </w:rPr>
      </w:pPr>
      <w:bookmarkStart w:id="0" w:name="OLE_LINK10"/>
      <w:r>
        <w:rPr>
          <w:rFonts w:hint="eastAsia" w:ascii="仿宋" w:hAnsi="仿宋" w:cs="仿宋"/>
          <w:color w:val="auto"/>
          <w:kern w:val="0"/>
          <w:sz w:val="32"/>
          <w:szCs w:val="32"/>
          <w:lang w:bidi="ar"/>
        </w:rPr>
        <w:t>采购需求</w:t>
      </w:r>
    </w:p>
    <w:bookmarkEnd w:id="0"/>
    <w:p w14:paraId="704372D8">
      <w:pPr>
        <w:ind w:firstLine="560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一、采购需求</w:t>
      </w:r>
    </w:p>
    <w:tbl>
      <w:tblPr>
        <w:tblStyle w:val="4"/>
        <w:tblW w:w="9635" w:type="dxa"/>
        <w:tblInd w:w="-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268"/>
        <w:gridCol w:w="2700"/>
        <w:gridCol w:w="844"/>
        <w:gridCol w:w="1444"/>
        <w:gridCol w:w="1596"/>
      </w:tblGrid>
      <w:tr w14:paraId="00FD4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612AB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8CA9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AAA1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规格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9F19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357D5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数量（份）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F1151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参数</w:t>
            </w:r>
          </w:p>
        </w:tc>
      </w:tr>
      <w:tr w14:paraId="44ECC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D5F0B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3C64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病原总核酸提取试剂盒（磁珠法）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E98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96T/盒（16人份*6板）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616DB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DBC4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70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5F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原厂试剂，适用于硕世SSNP-9600A、SAW-96全自动核酸提取仪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eastAsia="zh-CN"/>
              </w:rPr>
              <w:t>。</w:t>
            </w:r>
          </w:p>
          <w:p w14:paraId="66F86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三种试剂必须为同一品牌。</w:t>
            </w:r>
          </w:p>
          <w:p w14:paraId="63DB3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根据采购人实际需求分批次发货。</w:t>
            </w:r>
          </w:p>
          <w:p w14:paraId="34DE07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到货后试剂有效期≥10个月。</w:t>
            </w:r>
          </w:p>
        </w:tc>
      </w:tr>
      <w:tr w14:paraId="32092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78268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D08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病原总核酸提取试剂盒（磁珠法）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91412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48T/盒（8人份*6板）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6E78F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F1A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10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C8747">
            <w:pPr>
              <w:jc w:val="left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</w:p>
        </w:tc>
      </w:tr>
      <w:tr w14:paraId="32C38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F0CA0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28B02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RNA核酸提取试剂盒（磁珠法）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FDE1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32T/盒（1人份*32条）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6847A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DCD75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10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3F96">
            <w:pPr>
              <w:jc w:val="left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</w:p>
        </w:tc>
      </w:tr>
    </w:tbl>
    <w:p w14:paraId="56DC693B">
      <w:pPr>
        <w:pStyle w:val="3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试剂使用必须符合以下参数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475"/>
        <w:gridCol w:w="1350"/>
        <w:gridCol w:w="2286"/>
        <w:gridCol w:w="2623"/>
      </w:tblGrid>
      <w:tr w14:paraId="4170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A4430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步骤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A4F79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88474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孔位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12C15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吸附时间(sec)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BFA45C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混匀时间（sec）</w:t>
            </w:r>
          </w:p>
        </w:tc>
      </w:tr>
      <w:tr w14:paraId="6463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36CBA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BCC6C0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裂解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6A00B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FCE450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82CCD8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A1C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F6826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B6E4C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取磁珠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EC9BA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1A9A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FBF43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</w:tr>
      <w:tr w14:paraId="3401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72B7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E8EE8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结合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5D2BD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4C279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7A02A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360</w:t>
            </w:r>
          </w:p>
        </w:tc>
      </w:tr>
      <w:tr w14:paraId="55E7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3198C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D8008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洗涤1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03DA2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30BB5A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84B20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</w:tr>
      <w:tr w14:paraId="5259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C6DEC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E55F3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洗涤2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98F3E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D2738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F8514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</w:tr>
      <w:tr w14:paraId="5964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A1966A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965DA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洗涤3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4CD2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D8323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1699AD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</w:tr>
      <w:tr w14:paraId="71CA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D574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4C2D9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洗脱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36B9D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49D20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846AB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</w:tr>
      <w:tr w14:paraId="1AE7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36814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6931D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弃磁珠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7515E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392EB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ED10E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</w:tr>
    </w:tbl>
    <w:p w14:paraId="13CA7BB5">
      <w:pPr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bidi="ar"/>
        </w:rPr>
      </w:pPr>
      <w:r>
        <w:rPr>
          <w:rFonts w:hint="eastAsia" w:ascii="仿宋" w:hAnsi="仿宋" w:eastAsia="仿宋" w:cs="仿宋"/>
          <w:snapToGrid w:val="0"/>
          <w:color w:val="auto"/>
          <w:sz w:val="21"/>
          <w:szCs w:val="21"/>
          <w:lang w:val="en-US" w:eastAsia="zh-CN"/>
        </w:rPr>
        <w:t>裂解温度90℃，洗脱温度80℃，风干时间60sec</w:t>
      </w:r>
    </w:p>
    <w:p w14:paraId="4CA432A6">
      <w:pPr>
        <w:pStyle w:val="3"/>
        <w:ind w:firstLine="560" w:firstLineChars="200"/>
        <w:jc w:val="left"/>
        <w:rPr>
          <w:rFonts w:hint="eastAsia" w:ascii="仿宋" w:hAnsi="仿宋" w:eastAsia="仿宋" w:cs="仿宋"/>
          <w:snapToGrid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 w:bidi="ar"/>
        </w:rPr>
        <w:t>二、采购商务要求</w:t>
      </w:r>
    </w:p>
    <w:p w14:paraId="6311F258">
      <w:pPr>
        <w:ind w:firstLine="560" w:firstLineChars="200"/>
        <w:rPr>
          <w:rFonts w:hint="eastAsia" w:ascii="仿宋" w:hAnsi="仿宋" w:eastAsia="仿宋" w:cs="仿宋"/>
          <w:snapToGrid w:val="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（一）报价要求：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供应商的报价为完成竞价文件规定全部内容所需的一切应有费用。</w:t>
      </w:r>
    </w:p>
    <w:p w14:paraId="4093B490">
      <w:pPr>
        <w:ind w:firstLine="560" w:firstLineChars="200"/>
        <w:rPr>
          <w:rFonts w:hint="eastAsia" w:ascii="仿宋" w:hAnsi="仿宋" w:eastAsia="仿宋" w:cs="仿宋"/>
          <w:snapToGrid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napToGrid w:val="0"/>
          <w:sz w:val="28"/>
          <w:szCs w:val="28"/>
        </w:rPr>
        <w:t>（二）服务地点：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采购人指定地点</w:t>
      </w:r>
    </w:p>
    <w:p w14:paraId="56211B1D">
      <w:pPr>
        <w:ind w:firstLine="560" w:firstLineChars="200"/>
        <w:rPr>
          <w:rFonts w:hint="eastAsia" w:ascii="黑体" w:hAnsi="黑体" w:eastAsia="黑体" w:cs="黑体"/>
          <w:snapToGrid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sz w:val="28"/>
          <w:szCs w:val="28"/>
        </w:rPr>
        <w:t>（三）其它要求</w:t>
      </w:r>
    </w:p>
    <w:p w14:paraId="6CCB30A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供应商应安排专人及时处理解决相关</w:t>
      </w:r>
      <w:r>
        <w:rPr>
          <w:rFonts w:hint="eastAsia" w:ascii="仿宋" w:hAnsi="仿宋" w:eastAsia="仿宋" w:cs="仿宋"/>
          <w:sz w:val="28"/>
          <w:szCs w:val="28"/>
        </w:rPr>
        <w:t>货物验收等有关问题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</w:t>
      </w:r>
    </w:p>
    <w:p w14:paraId="10F9890B">
      <w:pPr>
        <w:spacing w:line="480" w:lineRule="exact"/>
        <w:ind w:firstLine="560" w:firstLineChars="200"/>
        <w:rPr>
          <w:rFonts w:hint="eastAsia" w:ascii="仿宋" w:hAnsi="仿宋" w:eastAsia="仿宋" w:cs="仿宋"/>
          <w:snapToGrid w:val="0"/>
          <w:color w:val="1D1D2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sz w:val="28"/>
          <w:szCs w:val="28"/>
        </w:rPr>
        <w:t>（四）付款及结算方式：</w:t>
      </w:r>
      <w:r>
        <w:rPr>
          <w:rFonts w:hint="eastAsia" w:ascii="仿宋" w:hAnsi="仿宋" w:eastAsia="仿宋" w:cs="仿宋"/>
          <w:snapToGrid w:val="0"/>
          <w:color w:val="1D1D20"/>
          <w:sz w:val="28"/>
          <w:szCs w:val="28"/>
        </w:rPr>
        <w:t>成交供应商供货完成，经采购人验收合格后一次性付清合同余款。</w:t>
      </w:r>
    </w:p>
    <w:p w14:paraId="4757840F">
      <w:pPr>
        <w:ind w:firstLine="560" w:firstLineChars="200"/>
        <w:rPr>
          <w:rFonts w:ascii="仿宋" w:hAnsi="仿宋" w:eastAsia="仿宋" w:cs="仿宋"/>
          <w:snapToGrid w:val="0"/>
          <w:sz w:val="28"/>
          <w:szCs w:val="28"/>
        </w:rPr>
      </w:pPr>
    </w:p>
    <w:p w14:paraId="26132AF7">
      <w:pPr>
        <w:ind w:firstLine="560" w:firstLineChars="200"/>
        <w:rPr>
          <w:rFonts w:ascii="仿宋" w:hAnsi="仿宋" w:eastAsia="仿宋" w:cs="仿宋"/>
          <w:snapToGrid w:val="0"/>
          <w:sz w:val="28"/>
          <w:szCs w:val="28"/>
        </w:rPr>
      </w:pPr>
    </w:p>
    <w:p w14:paraId="2E929536">
      <w:pPr>
        <w:ind w:firstLine="560" w:firstLineChars="200"/>
        <w:rPr>
          <w:rFonts w:ascii="仿宋" w:hAnsi="仿宋" w:eastAsia="仿宋" w:cs="仿宋"/>
          <w:snapToGrid w:val="0"/>
          <w:sz w:val="28"/>
          <w:szCs w:val="28"/>
        </w:rPr>
      </w:pPr>
    </w:p>
    <w:p w14:paraId="4932F887">
      <w:pPr>
        <w:ind w:firstLine="560" w:firstLineChars="200"/>
        <w:rPr>
          <w:rFonts w:ascii="仿宋" w:hAnsi="仿宋" w:eastAsia="仿宋" w:cs="仿宋"/>
          <w:snapToGrid w:val="0"/>
          <w:sz w:val="28"/>
          <w:szCs w:val="28"/>
        </w:rPr>
      </w:pPr>
    </w:p>
    <w:p w14:paraId="6E3DB712">
      <w:pPr>
        <w:ind w:firstLine="560" w:firstLineChars="200"/>
        <w:rPr>
          <w:rFonts w:ascii="仿宋" w:hAnsi="仿宋" w:eastAsia="仿宋" w:cs="仿宋"/>
          <w:snapToGrid w:val="0"/>
          <w:sz w:val="28"/>
          <w:szCs w:val="28"/>
        </w:rPr>
      </w:pPr>
    </w:p>
    <w:p w14:paraId="2A89B9B4">
      <w:pPr>
        <w:ind w:firstLine="560" w:firstLineChars="200"/>
        <w:rPr>
          <w:rFonts w:ascii="仿宋" w:hAnsi="仿宋" w:eastAsia="仿宋" w:cs="仿宋"/>
          <w:snapToGrid w:val="0"/>
          <w:sz w:val="28"/>
          <w:szCs w:val="28"/>
        </w:rPr>
      </w:pPr>
    </w:p>
    <w:p w14:paraId="7E144DC9">
      <w:pPr>
        <w:ind w:firstLine="560" w:firstLineChars="200"/>
        <w:rPr>
          <w:rFonts w:ascii="仿宋" w:hAnsi="仿宋" w:eastAsia="仿宋" w:cs="仿宋"/>
          <w:snapToGrid w:val="0"/>
          <w:sz w:val="28"/>
          <w:szCs w:val="28"/>
        </w:rPr>
      </w:pPr>
    </w:p>
    <w:p w14:paraId="3CE00487">
      <w:pPr>
        <w:ind w:firstLine="560" w:firstLineChars="200"/>
        <w:rPr>
          <w:rFonts w:ascii="仿宋" w:hAnsi="仿宋" w:eastAsia="仿宋" w:cs="仿宋"/>
          <w:snapToGrid w:val="0"/>
          <w:sz w:val="28"/>
          <w:szCs w:val="28"/>
        </w:rPr>
      </w:pPr>
    </w:p>
    <w:p w14:paraId="0DEE7B1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A0137"/>
    <w:multiLevelType w:val="singleLevel"/>
    <w:tmpl w:val="E41A01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4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仿宋"/>
      <w:b/>
      <w:bCs/>
      <w:kern w:val="44"/>
      <w:sz w:val="30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2025-08-11T06:39:06Z</dcterms:created>
  <dc:creator>Administrator</dc:creator>
  <cp:lastModifiedBy>周敏</cp:lastModifiedBy>
  <dcterms:modified xsi:type="dcterms:W3CDTF">2025-08-11T06:39:09Z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eyJoZGlkIjoiOTY0NjBjMDRkMTI4NDg4ZjUxMDc3ODI1NmIwYjQyNjgiLCJ1c2VySWQiOiIzNjExNTk2MDQifQ==</vt:lpwstr>
  </property>
  <property fmtid="{D5CDD505-2E9C-101B-9397-08002B2CF9AE}" pid="4" name="ICV">
    <vt:lpwstr>6E39AB8567634847944446665C82D7BD_12</vt:lpwstr>
  </property>
</Properties>
</file>